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A40B9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F24F52" w:rsidP="00321743">
            <w:pPr>
              <w:spacing w:before="200" w:after="200"/>
            </w:pPr>
            <w:r>
              <w:t>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F24F52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F24F52" w:rsidP="00F24F52">
            <w:pPr>
              <w:tabs>
                <w:tab w:val="left" w:pos="1373"/>
              </w:tabs>
              <w:spacing w:before="200" w:after="200"/>
            </w:pPr>
            <w:r>
              <w:t>Informationen weitergeben – Textproduktion (mündlich und schriftlich)</w:t>
            </w:r>
            <w:r w:rsidR="00ED66F6">
              <w:t xml:space="preserve"> – Texte zu Sachverhalten produzieren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24F52" w:rsidP="00BE7704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F24F52" w:rsidP="005137EF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5137EF">
              <w:t xml:space="preserve">naturwissenschaftliche Sachverhalte </w:t>
            </w:r>
            <w:proofErr w:type="spellStart"/>
            <w:r w:rsidR="005137EF">
              <w:t>adressaten</w:t>
            </w:r>
            <w:proofErr w:type="spellEnd"/>
            <w:r w:rsidR="005137EF">
              <w:t>- und sachgerecht in verschiedenen Darstellungsformen erklären.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690A82" w:rsidP="004E3B21">
            <w:pPr>
              <w:tabs>
                <w:tab w:val="left" w:pos="1190"/>
              </w:tabs>
              <w:spacing w:before="200" w:after="200"/>
            </w:pPr>
            <w:r>
              <w:t xml:space="preserve">TF 8: Säuren und Laugen – </w:t>
            </w:r>
            <w:r w:rsidR="004E3B21">
              <w:t>echt ätzend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4E3B21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4E3B21" w:rsidP="00321743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Pr="007D509D">
              <w:t>einen Kommentar oder eine Stellungnahme unter Nutzung geeigneter Textmuster und -bausteine verfassen</w:t>
            </w:r>
            <w:r w:rsidRPr="004E3B21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4E3B21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4E3B21">
              <w:rPr>
                <w:b/>
              </w:rPr>
              <w:t>:</w:t>
            </w:r>
            <w:r w:rsidR="00334567">
              <w:rPr>
                <w:b/>
              </w:rPr>
              <w:tab/>
            </w:r>
            <w:r w:rsidR="00690A82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4E3B21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4E3B21" w:rsidP="004E3B21">
            <w:pPr>
              <w:spacing w:before="200" w:after="200"/>
            </w:pPr>
            <w:r>
              <w:t xml:space="preserve">Wasserstoff, Auffangmethode, grafische Darstellungen 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C420CA" w:rsidRDefault="00C420CA" w:rsidP="00BF22FF">
      <w:pPr>
        <w:spacing w:before="60" w:after="60"/>
      </w:pPr>
    </w:p>
    <w:p w:rsidR="00C420CA" w:rsidRDefault="00B847A5" w:rsidP="00BF22FF">
      <w:pPr>
        <w:spacing w:before="60" w:after="60"/>
        <w:rPr>
          <w:b/>
        </w:rPr>
      </w:pPr>
      <w:r>
        <w:rPr>
          <w:b/>
        </w:rPr>
        <w:t>Kannst du es erklären?</w:t>
      </w:r>
    </w:p>
    <w:p w:rsidR="00C420CA" w:rsidRDefault="00C420CA" w:rsidP="00C420CA">
      <w:pPr>
        <w:spacing w:before="60" w:after="60"/>
        <w:jc w:val="both"/>
      </w:pPr>
      <w:r w:rsidRPr="00C420CA">
        <w:t xml:space="preserve">Das Gas Wasserstoff </w:t>
      </w:r>
      <w:r>
        <w:t>wird</w:t>
      </w:r>
      <w:r w:rsidRPr="00C420CA">
        <w:t xml:space="preserve"> durch Reaktion von Zink </w:t>
      </w:r>
      <w:r>
        <w:t>mit</w:t>
      </w:r>
      <w:r w:rsidRPr="00C420CA">
        <w:t xml:space="preserve"> Salzsäure hergestellt</w:t>
      </w:r>
      <w:r>
        <w:t xml:space="preserve">. </w:t>
      </w:r>
      <w:r w:rsidR="00B847A5">
        <w:t>Es kann auf verschiedene Art aufgefangen werden.</w:t>
      </w:r>
      <w:r>
        <w:t xml:space="preserve"> </w:t>
      </w:r>
    </w:p>
    <w:p w:rsidR="00B847A5" w:rsidRDefault="00B847A5" w:rsidP="00C420CA">
      <w:pPr>
        <w:spacing w:before="60" w:after="60"/>
        <w:jc w:val="both"/>
        <w:rPr>
          <w:b/>
        </w:rPr>
      </w:pPr>
    </w:p>
    <w:p w:rsidR="00C420CA" w:rsidRPr="00C420CA" w:rsidRDefault="00C420CA" w:rsidP="00C420CA">
      <w:pPr>
        <w:spacing w:before="60" w:after="60"/>
        <w:jc w:val="both"/>
        <w:rPr>
          <w:b/>
        </w:rPr>
      </w:pPr>
      <w:r w:rsidRPr="00C420CA">
        <w:rPr>
          <w:b/>
        </w:rPr>
        <w:t>Aufgabe:</w:t>
      </w:r>
    </w:p>
    <w:p w:rsidR="00F5187C" w:rsidRDefault="00B847A5" w:rsidP="00C420CA">
      <w:pPr>
        <w:spacing w:before="60" w:after="60"/>
        <w:jc w:val="both"/>
      </w:pPr>
      <w:r>
        <w:t>Erkläre beide Auffangmethoden für Wasserstoff.</w:t>
      </w:r>
      <w:r w:rsidR="002A7807">
        <w:t xml:space="preserve"> Gehe dabei auf die Dichte von Wasserstoff im Vergleich zur Luft und dessen Löslichkeit in Wasser ein.</w:t>
      </w:r>
    </w:p>
    <w:p w:rsidR="00B847A5" w:rsidRDefault="00B847A5" w:rsidP="00C420CA">
      <w:pPr>
        <w:spacing w:before="60" w:after="60"/>
        <w:jc w:val="both"/>
      </w:pPr>
    </w:p>
    <w:p w:rsidR="00673B0A" w:rsidRDefault="00D020D4" w:rsidP="00C420CA">
      <w:pPr>
        <w:spacing w:before="60" w:after="60"/>
        <w:jc w:val="both"/>
      </w:pPr>
      <w:r>
        <w:rPr>
          <w:noProof/>
          <w:lang w:eastAsia="de-DE"/>
        </w:rPr>
        <w:drawing>
          <wp:inline distT="0" distB="0" distL="0" distR="0">
            <wp:extent cx="4008755" cy="276415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528">
        <w:t xml:space="preserve">          </w:t>
      </w:r>
      <w:r>
        <w:rPr>
          <w:noProof/>
          <w:lang w:eastAsia="de-DE"/>
        </w:rPr>
        <w:drawing>
          <wp:inline distT="0" distB="0" distL="0" distR="0">
            <wp:extent cx="850900" cy="2891790"/>
            <wp:effectExtent l="0" t="0" r="6350" b="381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CA" w:rsidRPr="00C420CA" w:rsidRDefault="00C420CA" w:rsidP="00BF22FF">
      <w:pPr>
        <w:spacing w:before="60" w:after="60"/>
      </w:pPr>
    </w:p>
    <w:p w:rsidR="006D084A" w:rsidRDefault="00B847A5" w:rsidP="00B847A5">
      <w:pPr>
        <w:spacing w:before="60" w:after="60"/>
        <w:ind w:left="1416" w:firstLine="708"/>
        <w:rPr>
          <w:b/>
        </w:rPr>
      </w:pPr>
      <w:r>
        <w:rPr>
          <w:b/>
        </w:rPr>
        <w:t>Variante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Variante 2</w:t>
      </w:r>
    </w:p>
    <w:p w:rsidR="006D084A" w:rsidRDefault="006D084A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9C3D13" w:rsidRDefault="009C3D13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Pr="008119C5" w:rsidRDefault="00B847A5" w:rsidP="00BF22FF">
      <w:pPr>
        <w:spacing w:before="60" w:after="60"/>
        <w:rPr>
          <w:b/>
        </w:rPr>
      </w:pPr>
    </w:p>
    <w:p w:rsidR="00F5187C" w:rsidRPr="008A1768" w:rsidRDefault="00D020D4" w:rsidP="004F3656"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C10">
        <w:rPr>
          <w:noProof/>
          <w:lang w:eastAsia="de-DE"/>
        </w:rPr>
        <w:t xml:space="preserve"> LISUM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9C3D13" w:rsidRDefault="009C3D13" w:rsidP="00BF22FF">
      <w:pPr>
        <w:spacing w:before="60" w:after="60"/>
        <w:rPr>
          <w:b/>
        </w:rPr>
      </w:pPr>
    </w:p>
    <w:p w:rsidR="007169CD" w:rsidRDefault="007169CD" w:rsidP="007169CD">
      <w:pPr>
        <w:spacing w:before="60" w:after="60"/>
        <w:jc w:val="both"/>
      </w:pPr>
      <w:r>
        <w:t>Erkläre beide Auffangmethoden für Wasserstoff. Gehe dabei auf die Dichte von Wasserstoff im Vergleich zur Luft und dessen Löslichkeit in Wasser ein.</w:t>
      </w:r>
    </w:p>
    <w:p w:rsidR="002A7807" w:rsidRDefault="002A7807" w:rsidP="00BF22FF">
      <w:pPr>
        <w:spacing w:before="60" w:after="60"/>
        <w:rPr>
          <w:b/>
        </w:rPr>
      </w:pPr>
    </w:p>
    <w:tbl>
      <w:tblPr>
        <w:tblpPr w:leftFromText="141" w:rightFromText="141" w:vertAnchor="page" w:horzAnchor="margin" w:tblpY="3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2A7807" w:rsidRPr="002A7807" w:rsidTr="007169CD">
        <w:tc>
          <w:tcPr>
            <w:tcW w:w="4605" w:type="dxa"/>
          </w:tcPr>
          <w:p w:rsidR="002A7807" w:rsidRPr="002A7807" w:rsidRDefault="002A7807" w:rsidP="007169CD">
            <w:pPr>
              <w:spacing w:before="60" w:after="60"/>
              <w:rPr>
                <w:b/>
              </w:rPr>
            </w:pPr>
            <w:r w:rsidRPr="002A7807">
              <w:rPr>
                <w:b/>
              </w:rPr>
              <w:t>Variante 1</w:t>
            </w:r>
          </w:p>
        </w:tc>
        <w:tc>
          <w:tcPr>
            <w:tcW w:w="4605" w:type="dxa"/>
          </w:tcPr>
          <w:p w:rsidR="002A7807" w:rsidRPr="002A7807" w:rsidRDefault="002A7807" w:rsidP="007169CD">
            <w:pPr>
              <w:spacing w:before="60" w:after="60"/>
              <w:rPr>
                <w:b/>
              </w:rPr>
            </w:pPr>
            <w:r w:rsidRPr="002A7807">
              <w:rPr>
                <w:b/>
              </w:rPr>
              <w:t>Variante 2</w:t>
            </w:r>
          </w:p>
        </w:tc>
      </w:tr>
      <w:tr w:rsidR="002A7807" w:rsidRPr="002A7807" w:rsidTr="007169CD">
        <w:tc>
          <w:tcPr>
            <w:tcW w:w="4605" w:type="dxa"/>
          </w:tcPr>
          <w:p w:rsidR="002A7807" w:rsidRPr="00B847A5" w:rsidRDefault="002A7807" w:rsidP="003801AC">
            <w:pPr>
              <w:spacing w:before="60" w:after="60"/>
              <w:jc w:val="both"/>
            </w:pPr>
            <w:r>
              <w:t>Wasserstoff steigt im Reaktionsgefäß über Zink und Salzsäure nach oben und ve</w:t>
            </w:r>
            <w:r>
              <w:t>r</w:t>
            </w:r>
            <w:r>
              <w:t xml:space="preserve">drängt die Luft im Reaktionsgefäß. Durch den Druck des nachströmenden Gases wandert Wasserstoff in die pneumatische Wanne. </w:t>
            </w:r>
            <w:r w:rsidRPr="00B847A5">
              <w:t>Wasserstoff ist nicht/kaum wasse</w:t>
            </w:r>
            <w:r w:rsidRPr="00B847A5">
              <w:t>r</w:t>
            </w:r>
            <w:r w:rsidRPr="00B847A5">
              <w:t>löslich</w:t>
            </w:r>
            <w:r>
              <w:t xml:space="preserve">. Es verdrängt deshalb das Wasser aus dem Standzylinder nach und nach. </w:t>
            </w:r>
          </w:p>
        </w:tc>
        <w:tc>
          <w:tcPr>
            <w:tcW w:w="4605" w:type="dxa"/>
          </w:tcPr>
          <w:p w:rsidR="002A7807" w:rsidRPr="002A7807" w:rsidRDefault="002A7807" w:rsidP="007169CD">
            <w:pPr>
              <w:spacing w:before="60" w:after="60"/>
              <w:jc w:val="both"/>
              <w:rPr>
                <w:b/>
              </w:rPr>
            </w:pPr>
            <w:r>
              <w:t>Wasserstoff steigt im Reaktionsgefäß über Zink und Salzsäure nach oben und ve</w:t>
            </w:r>
            <w:r>
              <w:t>r</w:t>
            </w:r>
            <w:r>
              <w:t xml:space="preserve">drängt die Luft im Reaktionsgefäß. Durch den Druck des nachströmenden Gases strömt Wasserstoff durch das </w:t>
            </w:r>
            <w:proofErr w:type="spellStart"/>
            <w:r>
              <w:t>Glasrohr</w:t>
            </w:r>
            <w:proofErr w:type="spellEnd"/>
            <w:r>
              <w:t xml:space="preserve"> in das übergestülpte Reagenzglas. Wasserstoff ist leichter als Luft, deshalb sammelt es sich im oberen Teil des Reagenzglases und ve</w:t>
            </w:r>
            <w:r>
              <w:t>r</w:t>
            </w:r>
            <w:r>
              <w:t>drängt die darin befindliche Luft.</w:t>
            </w:r>
          </w:p>
        </w:tc>
      </w:tr>
      <w:tr w:rsidR="002A7807" w:rsidRPr="002A7807" w:rsidTr="007169CD">
        <w:tc>
          <w:tcPr>
            <w:tcW w:w="4605" w:type="dxa"/>
          </w:tcPr>
          <w:p w:rsidR="002A7807" w:rsidRPr="002A7807" w:rsidRDefault="002A7807" w:rsidP="007169CD">
            <w:pPr>
              <w:spacing w:before="60" w:after="60"/>
              <w:rPr>
                <w:b/>
              </w:rPr>
            </w:pPr>
            <w:r w:rsidRPr="002A7807">
              <w:rPr>
                <w:b/>
              </w:rPr>
              <w:t>Pneumatisches Auffangen</w:t>
            </w:r>
          </w:p>
        </w:tc>
        <w:tc>
          <w:tcPr>
            <w:tcW w:w="4605" w:type="dxa"/>
          </w:tcPr>
          <w:p w:rsidR="002A7807" w:rsidRPr="002A7807" w:rsidRDefault="002A7807" w:rsidP="007169CD">
            <w:pPr>
              <w:spacing w:before="60" w:after="60"/>
              <w:rPr>
                <w:b/>
              </w:rPr>
            </w:pPr>
            <w:r w:rsidRPr="002A7807">
              <w:rPr>
                <w:b/>
              </w:rPr>
              <w:t>Auffangen durch Luftverdrängung</w:t>
            </w:r>
          </w:p>
        </w:tc>
      </w:tr>
    </w:tbl>
    <w:p w:rsidR="002A7807" w:rsidRDefault="002A7807" w:rsidP="00B847A5">
      <w:pPr>
        <w:spacing w:before="60" w:after="60"/>
        <w:jc w:val="both"/>
      </w:pPr>
    </w:p>
    <w:p w:rsidR="00C16860" w:rsidRPr="008119C5" w:rsidRDefault="00C16860" w:rsidP="00BF22FF">
      <w:pPr>
        <w:spacing w:before="60" w:after="60"/>
        <w:rPr>
          <w:b/>
        </w:rPr>
      </w:pPr>
    </w:p>
    <w:p w:rsidR="00CB2755" w:rsidRDefault="00CB2755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Default="009C3D13" w:rsidP="009C3D13">
      <w:pPr>
        <w:rPr>
          <w:b/>
          <w:sz w:val="28"/>
          <w:szCs w:val="28"/>
        </w:rPr>
      </w:pPr>
    </w:p>
    <w:p w:rsidR="009C3D13" w:rsidRPr="009C3D13" w:rsidRDefault="009C3D13" w:rsidP="009C3D13"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9C3D13">
        <w:t>LISUM</w:t>
      </w:r>
    </w:p>
    <w:p w:rsidR="008119C5" w:rsidRPr="00E16B27" w:rsidRDefault="009C3D13" w:rsidP="009C3D13">
      <w:pPr>
        <w:rPr>
          <w:sz w:val="2"/>
          <w:szCs w:val="2"/>
        </w:rPr>
      </w:pPr>
      <w:r w:rsidRPr="00E16B27">
        <w:rPr>
          <w:sz w:val="2"/>
          <w:szCs w:val="2"/>
        </w:rPr>
        <w:t xml:space="preserve"> </w:t>
      </w:r>
    </w:p>
    <w:sectPr w:rsidR="008119C5" w:rsidRPr="00E16B27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B3" w:rsidRDefault="002707B3" w:rsidP="00837EC7">
      <w:pPr>
        <w:spacing w:line="240" w:lineRule="auto"/>
      </w:pPr>
      <w:r>
        <w:separator/>
      </w:r>
    </w:p>
  </w:endnote>
  <w:endnote w:type="continuationSeparator" w:id="0">
    <w:p w:rsidR="002707B3" w:rsidRDefault="002707B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584B4B">
      <w:fldChar w:fldCharType="begin"/>
    </w:r>
    <w:r w:rsidR="005837CE">
      <w:instrText xml:space="preserve"> PAGE   \* MERGEFORMAT </w:instrText>
    </w:r>
    <w:r w:rsidR="00584B4B">
      <w:fldChar w:fldCharType="separate"/>
    </w:r>
    <w:r w:rsidR="00400711">
      <w:rPr>
        <w:noProof/>
      </w:rPr>
      <w:t>1</w:t>
    </w:r>
    <w:r w:rsidR="00584B4B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584B4B">
      <w:fldChar w:fldCharType="begin"/>
    </w:r>
    <w:r w:rsidR="005837CE">
      <w:instrText xml:space="preserve"> PAGE   \* MERGEFORMAT </w:instrText>
    </w:r>
    <w:r w:rsidR="00584B4B">
      <w:fldChar w:fldCharType="separate"/>
    </w:r>
    <w:r w:rsidR="00400711">
      <w:rPr>
        <w:noProof/>
      </w:rPr>
      <w:t>2</w:t>
    </w:r>
    <w:r w:rsidR="00584B4B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B3" w:rsidRDefault="002707B3" w:rsidP="00837EC7">
      <w:pPr>
        <w:spacing w:line="240" w:lineRule="auto"/>
      </w:pPr>
      <w:r>
        <w:separator/>
      </w:r>
    </w:p>
  </w:footnote>
  <w:footnote w:type="continuationSeparator" w:id="0">
    <w:p w:rsidR="002707B3" w:rsidRDefault="002707B3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05C1C"/>
    <w:multiLevelType w:val="hybridMultilevel"/>
    <w:tmpl w:val="F11EAF76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B3E98"/>
    <w:multiLevelType w:val="hybridMultilevel"/>
    <w:tmpl w:val="09AA2D26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5E0D62"/>
    <w:multiLevelType w:val="hybridMultilevel"/>
    <w:tmpl w:val="2ED61F68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64890"/>
    <w:multiLevelType w:val="hybridMultilevel"/>
    <w:tmpl w:val="1DD4A370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14846"/>
    <w:rsid w:val="0004165F"/>
    <w:rsid w:val="000625DB"/>
    <w:rsid w:val="000A2A61"/>
    <w:rsid w:val="000A4B8B"/>
    <w:rsid w:val="000D33B5"/>
    <w:rsid w:val="00133562"/>
    <w:rsid w:val="00136172"/>
    <w:rsid w:val="00142DFA"/>
    <w:rsid w:val="00153EE8"/>
    <w:rsid w:val="00155F4E"/>
    <w:rsid w:val="001634E6"/>
    <w:rsid w:val="00163D87"/>
    <w:rsid w:val="00185133"/>
    <w:rsid w:val="001A71B9"/>
    <w:rsid w:val="001A7BA9"/>
    <w:rsid w:val="001B043E"/>
    <w:rsid w:val="001C3197"/>
    <w:rsid w:val="001F319E"/>
    <w:rsid w:val="00202F49"/>
    <w:rsid w:val="00206E1F"/>
    <w:rsid w:val="002348B8"/>
    <w:rsid w:val="002707B3"/>
    <w:rsid w:val="002A04B8"/>
    <w:rsid w:val="002A2294"/>
    <w:rsid w:val="002A7807"/>
    <w:rsid w:val="002B14FC"/>
    <w:rsid w:val="002C2355"/>
    <w:rsid w:val="002D3F70"/>
    <w:rsid w:val="002D55C9"/>
    <w:rsid w:val="002E1682"/>
    <w:rsid w:val="002F3C8C"/>
    <w:rsid w:val="00300E1A"/>
    <w:rsid w:val="00321743"/>
    <w:rsid w:val="00334567"/>
    <w:rsid w:val="00363539"/>
    <w:rsid w:val="003801AC"/>
    <w:rsid w:val="00381AB2"/>
    <w:rsid w:val="003F4234"/>
    <w:rsid w:val="00400711"/>
    <w:rsid w:val="0040115E"/>
    <w:rsid w:val="004072A0"/>
    <w:rsid w:val="00407EB1"/>
    <w:rsid w:val="00411347"/>
    <w:rsid w:val="004153E9"/>
    <w:rsid w:val="00445672"/>
    <w:rsid w:val="00467ABE"/>
    <w:rsid w:val="004851BE"/>
    <w:rsid w:val="0049671A"/>
    <w:rsid w:val="00496D76"/>
    <w:rsid w:val="004C485B"/>
    <w:rsid w:val="004C5D31"/>
    <w:rsid w:val="004E3B21"/>
    <w:rsid w:val="004F3656"/>
    <w:rsid w:val="005052CB"/>
    <w:rsid w:val="005137EF"/>
    <w:rsid w:val="00537A2A"/>
    <w:rsid w:val="005837CE"/>
    <w:rsid w:val="00584B4B"/>
    <w:rsid w:val="005960DF"/>
    <w:rsid w:val="005C135E"/>
    <w:rsid w:val="005C16CC"/>
    <w:rsid w:val="005D03D5"/>
    <w:rsid w:val="005F1ACA"/>
    <w:rsid w:val="00673B0A"/>
    <w:rsid w:val="00677337"/>
    <w:rsid w:val="00690A82"/>
    <w:rsid w:val="006A22F8"/>
    <w:rsid w:val="006A40B9"/>
    <w:rsid w:val="006A599E"/>
    <w:rsid w:val="006C713F"/>
    <w:rsid w:val="006D084A"/>
    <w:rsid w:val="006D5EEA"/>
    <w:rsid w:val="006D719E"/>
    <w:rsid w:val="007024FB"/>
    <w:rsid w:val="00706528"/>
    <w:rsid w:val="007169CD"/>
    <w:rsid w:val="007357B6"/>
    <w:rsid w:val="007621DD"/>
    <w:rsid w:val="00771C9C"/>
    <w:rsid w:val="007933E8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6632A"/>
    <w:rsid w:val="008A1768"/>
    <w:rsid w:val="008B1D49"/>
    <w:rsid w:val="008B6E6E"/>
    <w:rsid w:val="008B7ADB"/>
    <w:rsid w:val="008E2ED1"/>
    <w:rsid w:val="008E7D45"/>
    <w:rsid w:val="008F78E6"/>
    <w:rsid w:val="009241B8"/>
    <w:rsid w:val="00937B60"/>
    <w:rsid w:val="0095558E"/>
    <w:rsid w:val="00971722"/>
    <w:rsid w:val="009A1D85"/>
    <w:rsid w:val="009C3D13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847A5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20CA"/>
    <w:rsid w:val="00C47F23"/>
    <w:rsid w:val="00C6552D"/>
    <w:rsid w:val="00C954DB"/>
    <w:rsid w:val="00CA26AC"/>
    <w:rsid w:val="00CB2755"/>
    <w:rsid w:val="00CB3549"/>
    <w:rsid w:val="00CB6906"/>
    <w:rsid w:val="00CB7109"/>
    <w:rsid w:val="00CD2C10"/>
    <w:rsid w:val="00D020D4"/>
    <w:rsid w:val="00D0707C"/>
    <w:rsid w:val="00D226DE"/>
    <w:rsid w:val="00D270BC"/>
    <w:rsid w:val="00D41BE0"/>
    <w:rsid w:val="00D42DAA"/>
    <w:rsid w:val="00DA7808"/>
    <w:rsid w:val="00DC762A"/>
    <w:rsid w:val="00DD0C30"/>
    <w:rsid w:val="00DF308F"/>
    <w:rsid w:val="00E16A0E"/>
    <w:rsid w:val="00E16B27"/>
    <w:rsid w:val="00E32F59"/>
    <w:rsid w:val="00E363A5"/>
    <w:rsid w:val="00E466BA"/>
    <w:rsid w:val="00E51F40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1E37"/>
    <w:rsid w:val="00ED66F6"/>
    <w:rsid w:val="00F17F92"/>
    <w:rsid w:val="00F2257F"/>
    <w:rsid w:val="00F24F52"/>
    <w:rsid w:val="00F2552E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2015-12-15T09:20:00Z</dcterms:created>
  <dcterms:modified xsi:type="dcterms:W3CDTF">2015-12-15T09:20:00Z</dcterms:modified>
</cp:coreProperties>
</file>