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F49" w:rsidRPr="00F74742" w:rsidRDefault="00C75B74" w:rsidP="000209E8">
      <w:pPr>
        <w:spacing w:after="120"/>
        <w:rPr>
          <w:rFonts w:cs="Arial"/>
        </w:rPr>
      </w:pPr>
      <w:r>
        <w:rPr>
          <w:rFonts w:eastAsia="Arial" w:cs="Arial"/>
        </w:rPr>
        <w:t xml:space="preserve">Standardillustrierende Aufgaben veranschaulichen beispielhaft Standards für Lehrkräfte, Lernende und Eltern. </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2802"/>
        <w:gridCol w:w="276"/>
        <w:gridCol w:w="3078"/>
        <w:gridCol w:w="3079"/>
      </w:tblGrid>
      <w:tr w:rsidR="00B94BD8" w:rsidRPr="00F74742" w:rsidTr="00C16860">
        <w:tc>
          <w:tcPr>
            <w:tcW w:w="2802" w:type="dxa"/>
          </w:tcPr>
          <w:p w:rsidR="00B94BD8" w:rsidRPr="00F74742" w:rsidRDefault="00B94BD8" w:rsidP="000209E8">
            <w:pPr>
              <w:spacing w:before="200" w:after="200"/>
              <w:rPr>
                <w:rFonts w:cs="Arial"/>
                <w:b/>
              </w:rPr>
            </w:pPr>
            <w:r w:rsidRPr="00F74742">
              <w:rPr>
                <w:rFonts w:cs="Arial"/>
                <w:b/>
              </w:rPr>
              <w:t>Fach</w:t>
            </w:r>
          </w:p>
        </w:tc>
        <w:tc>
          <w:tcPr>
            <w:tcW w:w="6433" w:type="dxa"/>
            <w:gridSpan w:val="3"/>
          </w:tcPr>
          <w:p w:rsidR="00B94BD8" w:rsidRPr="00F74742" w:rsidRDefault="00F32962" w:rsidP="000209E8">
            <w:pPr>
              <w:spacing w:before="200" w:after="200"/>
              <w:rPr>
                <w:rFonts w:cs="Arial"/>
              </w:rPr>
            </w:pPr>
            <w:r w:rsidRPr="00F74742">
              <w:rPr>
                <w:rFonts w:cs="Arial"/>
              </w:rPr>
              <w:t>Ethik</w:t>
            </w:r>
          </w:p>
        </w:tc>
      </w:tr>
      <w:tr w:rsidR="00B94BD8" w:rsidRPr="00F74742" w:rsidTr="00C16860">
        <w:tc>
          <w:tcPr>
            <w:tcW w:w="2802" w:type="dxa"/>
          </w:tcPr>
          <w:p w:rsidR="00B94BD8" w:rsidRPr="00F74742" w:rsidRDefault="00B94BD8" w:rsidP="000209E8">
            <w:pPr>
              <w:spacing w:before="200" w:after="200"/>
              <w:rPr>
                <w:rFonts w:cs="Arial"/>
                <w:b/>
              </w:rPr>
            </w:pPr>
            <w:r w:rsidRPr="00F74742">
              <w:rPr>
                <w:rFonts w:cs="Arial"/>
                <w:b/>
              </w:rPr>
              <w:t>Kompetenzbereich</w:t>
            </w:r>
          </w:p>
        </w:tc>
        <w:tc>
          <w:tcPr>
            <w:tcW w:w="6433" w:type="dxa"/>
            <w:gridSpan w:val="3"/>
          </w:tcPr>
          <w:p w:rsidR="00B94BD8" w:rsidRPr="00F74742" w:rsidRDefault="0064788B" w:rsidP="000209E8">
            <w:pPr>
              <w:spacing w:before="200" w:after="200"/>
              <w:rPr>
                <w:rFonts w:cs="Arial"/>
              </w:rPr>
            </w:pPr>
            <w:r>
              <w:rPr>
                <w:rFonts w:cs="Arial"/>
              </w:rPr>
              <w:t>Argumentieren und Urteilen</w:t>
            </w:r>
          </w:p>
        </w:tc>
      </w:tr>
      <w:tr w:rsidR="00B94BD8" w:rsidRPr="00F74742" w:rsidTr="00C16860">
        <w:tc>
          <w:tcPr>
            <w:tcW w:w="2802" w:type="dxa"/>
          </w:tcPr>
          <w:p w:rsidR="00B94BD8" w:rsidRPr="00F74742" w:rsidRDefault="00B94BD8" w:rsidP="000209E8">
            <w:pPr>
              <w:tabs>
                <w:tab w:val="left" w:pos="1373"/>
              </w:tabs>
              <w:spacing w:before="200" w:after="200"/>
              <w:rPr>
                <w:rFonts w:cs="Arial"/>
                <w:b/>
              </w:rPr>
            </w:pPr>
            <w:r w:rsidRPr="00F74742">
              <w:rPr>
                <w:rFonts w:cs="Arial"/>
                <w:b/>
              </w:rPr>
              <w:t>Kompetenz</w:t>
            </w:r>
          </w:p>
        </w:tc>
        <w:tc>
          <w:tcPr>
            <w:tcW w:w="6433" w:type="dxa"/>
            <w:gridSpan w:val="3"/>
          </w:tcPr>
          <w:p w:rsidR="00B94BD8" w:rsidRPr="00F74742" w:rsidRDefault="0064788B" w:rsidP="000209E8">
            <w:pPr>
              <w:tabs>
                <w:tab w:val="left" w:pos="1373"/>
              </w:tabs>
              <w:spacing w:before="200" w:after="200"/>
              <w:rPr>
                <w:rFonts w:cs="Arial"/>
              </w:rPr>
            </w:pPr>
            <w:r>
              <w:rPr>
                <w:rFonts w:cs="Arial"/>
              </w:rPr>
              <w:t>Urteilen</w:t>
            </w:r>
          </w:p>
        </w:tc>
      </w:tr>
      <w:tr w:rsidR="00B94BD8" w:rsidRPr="00F74742" w:rsidTr="00C16860">
        <w:tc>
          <w:tcPr>
            <w:tcW w:w="2802" w:type="dxa"/>
          </w:tcPr>
          <w:p w:rsidR="00B94BD8" w:rsidRPr="00F74742" w:rsidRDefault="008E2ED1" w:rsidP="000209E8">
            <w:pPr>
              <w:tabs>
                <w:tab w:val="left" w:pos="1190"/>
              </w:tabs>
              <w:spacing w:before="200" w:after="200"/>
              <w:rPr>
                <w:rFonts w:cs="Arial"/>
                <w:b/>
              </w:rPr>
            </w:pPr>
            <w:r w:rsidRPr="00F74742">
              <w:rPr>
                <w:rFonts w:cs="Arial"/>
                <w:b/>
              </w:rPr>
              <w:t>Niveaus</w:t>
            </w:r>
            <w:r w:rsidR="00B94BD8" w:rsidRPr="00F74742">
              <w:rPr>
                <w:rFonts w:cs="Arial"/>
                <w:b/>
              </w:rPr>
              <w:t>tufe</w:t>
            </w:r>
            <w:r w:rsidR="00DF1F88">
              <w:rPr>
                <w:rFonts w:cs="Arial"/>
                <w:b/>
              </w:rPr>
              <w:t>n</w:t>
            </w:r>
          </w:p>
        </w:tc>
        <w:tc>
          <w:tcPr>
            <w:tcW w:w="6433" w:type="dxa"/>
            <w:gridSpan w:val="3"/>
          </w:tcPr>
          <w:p w:rsidR="00B94BD8" w:rsidRPr="00F74742" w:rsidRDefault="009D4E86" w:rsidP="009D4E86">
            <w:pPr>
              <w:tabs>
                <w:tab w:val="left" w:pos="1190"/>
              </w:tabs>
              <w:spacing w:before="200" w:after="200"/>
              <w:rPr>
                <w:rFonts w:cs="Arial"/>
              </w:rPr>
            </w:pPr>
            <w:r>
              <w:rPr>
                <w:rFonts w:cs="Arial"/>
              </w:rPr>
              <w:t>E</w:t>
            </w:r>
          </w:p>
        </w:tc>
      </w:tr>
      <w:tr w:rsidR="008E2ED1" w:rsidRPr="00F74742" w:rsidTr="00C16860">
        <w:tc>
          <w:tcPr>
            <w:tcW w:w="2802" w:type="dxa"/>
          </w:tcPr>
          <w:p w:rsidR="008E2ED1" w:rsidRPr="00F74742" w:rsidRDefault="008E2ED1" w:rsidP="000209E8">
            <w:pPr>
              <w:tabs>
                <w:tab w:val="left" w:pos="1190"/>
              </w:tabs>
              <w:spacing w:before="200" w:after="200"/>
              <w:rPr>
                <w:rFonts w:cs="Arial"/>
                <w:b/>
              </w:rPr>
            </w:pPr>
            <w:r w:rsidRPr="00F74742">
              <w:rPr>
                <w:rFonts w:cs="Arial"/>
                <w:b/>
              </w:rPr>
              <w:t>Standard</w:t>
            </w:r>
          </w:p>
        </w:tc>
        <w:tc>
          <w:tcPr>
            <w:tcW w:w="6433" w:type="dxa"/>
            <w:gridSpan w:val="3"/>
          </w:tcPr>
          <w:p w:rsidR="00B52EB2" w:rsidRPr="00001A1A" w:rsidRDefault="00B52EB2" w:rsidP="009D4E86">
            <w:pPr>
              <w:tabs>
                <w:tab w:val="left" w:pos="1190"/>
              </w:tabs>
              <w:spacing w:before="200" w:after="200"/>
              <w:rPr>
                <w:rFonts w:cs="Arial"/>
              </w:rPr>
            </w:pPr>
            <w:r>
              <w:t xml:space="preserve">E: </w:t>
            </w:r>
            <w:r w:rsidRPr="006D61A6">
              <w:t xml:space="preserve">ein begründetes Urteil zu dem zur Diskussion stehenden </w:t>
            </w:r>
            <w:r>
              <w:t xml:space="preserve">ethischen </w:t>
            </w:r>
            <w:r w:rsidRPr="006D61A6">
              <w:t>Problem unter Berüc</w:t>
            </w:r>
            <w:r>
              <w:t>ksichtigung von Gegenargume</w:t>
            </w:r>
            <w:r>
              <w:t>n</w:t>
            </w:r>
            <w:r>
              <w:t xml:space="preserve">ten </w:t>
            </w:r>
            <w:r w:rsidRPr="006D61A6">
              <w:t>vertrete</w:t>
            </w:r>
            <w:r w:rsidR="00001A1A">
              <w:t>n</w:t>
            </w:r>
          </w:p>
        </w:tc>
      </w:tr>
      <w:tr w:rsidR="00B94BD8" w:rsidRPr="00F74742" w:rsidTr="00C16860">
        <w:tc>
          <w:tcPr>
            <w:tcW w:w="2802" w:type="dxa"/>
            <w:tcBorders>
              <w:bottom w:val="single" w:sz="4" w:space="0" w:color="808080" w:themeColor="background1" w:themeShade="80"/>
            </w:tcBorders>
          </w:tcPr>
          <w:p w:rsidR="00B94BD8" w:rsidRPr="00F74742" w:rsidRDefault="00B94BD8" w:rsidP="000209E8">
            <w:pPr>
              <w:tabs>
                <w:tab w:val="left" w:pos="1190"/>
              </w:tabs>
              <w:spacing w:before="200" w:after="200"/>
              <w:rPr>
                <w:rFonts w:cs="Arial"/>
                <w:b/>
              </w:rPr>
            </w:pPr>
            <w:r w:rsidRPr="00F74742">
              <w:rPr>
                <w:rFonts w:cs="Arial"/>
                <w:b/>
              </w:rPr>
              <w:t>ggf. Themenfeld</w:t>
            </w:r>
          </w:p>
        </w:tc>
        <w:tc>
          <w:tcPr>
            <w:tcW w:w="6433" w:type="dxa"/>
            <w:gridSpan w:val="3"/>
            <w:tcBorders>
              <w:bottom w:val="single" w:sz="4" w:space="0" w:color="808080" w:themeColor="background1" w:themeShade="80"/>
            </w:tcBorders>
          </w:tcPr>
          <w:p w:rsidR="00B94BD8" w:rsidRPr="00F74742" w:rsidRDefault="00EC0753" w:rsidP="009D4E86">
            <w:pPr>
              <w:tabs>
                <w:tab w:val="left" w:pos="1190"/>
              </w:tabs>
              <w:spacing w:before="200" w:after="200"/>
              <w:rPr>
                <w:rFonts w:cs="Arial"/>
              </w:rPr>
            </w:pPr>
            <w:r>
              <w:rPr>
                <w:rFonts w:cs="Arial"/>
              </w:rPr>
              <w:t>Handeln und Moral</w:t>
            </w:r>
          </w:p>
        </w:tc>
      </w:tr>
      <w:tr w:rsidR="005C16CC" w:rsidRPr="00F74742" w:rsidTr="00C16860">
        <w:tc>
          <w:tcPr>
            <w:tcW w:w="2802" w:type="dxa"/>
            <w:tcBorders>
              <w:bottom w:val="single" w:sz="4" w:space="0" w:color="808080" w:themeColor="background1" w:themeShade="80"/>
            </w:tcBorders>
          </w:tcPr>
          <w:p w:rsidR="005C16CC" w:rsidRPr="00F74742" w:rsidRDefault="005C16CC" w:rsidP="000209E8">
            <w:pPr>
              <w:tabs>
                <w:tab w:val="left" w:pos="1190"/>
              </w:tabs>
              <w:spacing w:before="200" w:after="200"/>
              <w:rPr>
                <w:rFonts w:cs="Arial"/>
                <w:b/>
              </w:rPr>
            </w:pPr>
            <w:r w:rsidRPr="00F74742">
              <w:rPr>
                <w:rFonts w:cs="Arial"/>
                <w:b/>
              </w:rPr>
              <w:t>ggf</w:t>
            </w:r>
            <w:r w:rsidR="00EA4734" w:rsidRPr="00F74742">
              <w:rPr>
                <w:rFonts w:cs="Arial"/>
                <w:b/>
              </w:rPr>
              <w:t>.</w:t>
            </w:r>
            <w:r w:rsidRPr="00F74742">
              <w:rPr>
                <w:rFonts w:cs="Arial"/>
                <w:b/>
              </w:rPr>
              <w:t xml:space="preserve"> Bezug Basiscurr</w:t>
            </w:r>
            <w:r w:rsidRPr="00F74742">
              <w:rPr>
                <w:rFonts w:cs="Arial"/>
                <w:b/>
              </w:rPr>
              <w:t>i</w:t>
            </w:r>
            <w:r w:rsidRPr="00F74742">
              <w:rPr>
                <w:rFonts w:cs="Arial"/>
                <w:b/>
              </w:rPr>
              <w:t>culum (BC)</w:t>
            </w:r>
            <w:r w:rsidR="00C16860" w:rsidRPr="00F74742">
              <w:rPr>
                <w:rFonts w:cs="Arial"/>
                <w:b/>
              </w:rPr>
              <w:t xml:space="preserve"> oder übe</w:t>
            </w:r>
            <w:r w:rsidR="00C16860" w:rsidRPr="00F74742">
              <w:rPr>
                <w:rFonts w:cs="Arial"/>
                <w:b/>
              </w:rPr>
              <w:t>r</w:t>
            </w:r>
            <w:r w:rsidR="00C16860" w:rsidRPr="00F74742">
              <w:rPr>
                <w:rFonts w:cs="Arial"/>
                <w:b/>
              </w:rPr>
              <w:t>greifenden Themen (ÜT)</w:t>
            </w:r>
          </w:p>
        </w:tc>
        <w:tc>
          <w:tcPr>
            <w:tcW w:w="6433" w:type="dxa"/>
            <w:gridSpan w:val="3"/>
            <w:tcBorders>
              <w:bottom w:val="single" w:sz="4" w:space="0" w:color="808080" w:themeColor="background1" w:themeShade="80"/>
            </w:tcBorders>
          </w:tcPr>
          <w:p w:rsidR="005C16CC" w:rsidRDefault="00001B57" w:rsidP="000209E8">
            <w:pPr>
              <w:tabs>
                <w:tab w:val="left" w:pos="1190"/>
              </w:tabs>
              <w:spacing w:before="200" w:after="200"/>
              <w:rPr>
                <w:rFonts w:cs="Arial"/>
              </w:rPr>
            </w:pPr>
            <w:r>
              <w:rPr>
                <w:rFonts w:cs="Arial"/>
              </w:rPr>
              <w:t>Sprachbildung</w:t>
            </w:r>
          </w:p>
          <w:p w:rsidR="00832B32" w:rsidRPr="00F74742" w:rsidRDefault="00832B32" w:rsidP="002F670D">
            <w:pPr>
              <w:tabs>
                <w:tab w:val="left" w:pos="1190"/>
              </w:tabs>
              <w:spacing w:before="200" w:after="200"/>
              <w:rPr>
                <w:rFonts w:cs="Arial"/>
              </w:rPr>
            </w:pPr>
            <w:r>
              <w:rPr>
                <w:rFonts w:cs="Arial"/>
              </w:rPr>
              <w:t xml:space="preserve">Medienbildung </w:t>
            </w:r>
          </w:p>
        </w:tc>
      </w:tr>
      <w:tr w:rsidR="005C16CC" w:rsidRPr="00F74742" w:rsidTr="00C16860">
        <w:tc>
          <w:tcPr>
            <w:tcW w:w="2802" w:type="dxa"/>
            <w:tcBorders>
              <w:bottom w:val="single" w:sz="4" w:space="0" w:color="808080" w:themeColor="background1" w:themeShade="80"/>
            </w:tcBorders>
          </w:tcPr>
          <w:p w:rsidR="005C16CC" w:rsidRPr="00F74742" w:rsidRDefault="004851BE" w:rsidP="000209E8">
            <w:pPr>
              <w:tabs>
                <w:tab w:val="left" w:pos="1190"/>
              </w:tabs>
              <w:spacing w:before="200" w:after="200"/>
              <w:rPr>
                <w:rFonts w:cs="Arial"/>
                <w:b/>
              </w:rPr>
            </w:pPr>
            <w:r w:rsidRPr="00F74742">
              <w:rPr>
                <w:rFonts w:cs="Arial"/>
                <w:b/>
              </w:rPr>
              <w:t>g</w:t>
            </w:r>
            <w:r w:rsidR="005C16CC" w:rsidRPr="00F74742">
              <w:rPr>
                <w:rFonts w:cs="Arial"/>
                <w:b/>
              </w:rPr>
              <w:t>gf</w:t>
            </w:r>
            <w:r w:rsidR="00EA4734" w:rsidRPr="00F74742">
              <w:rPr>
                <w:rFonts w:cs="Arial"/>
                <w:b/>
              </w:rPr>
              <w:t>.</w:t>
            </w:r>
            <w:r w:rsidR="005C16CC" w:rsidRPr="00F74742">
              <w:rPr>
                <w:rFonts w:cs="Arial"/>
                <w:b/>
              </w:rPr>
              <w:t xml:space="preserve"> Standard BC</w:t>
            </w:r>
          </w:p>
        </w:tc>
        <w:tc>
          <w:tcPr>
            <w:tcW w:w="6433" w:type="dxa"/>
            <w:gridSpan w:val="3"/>
            <w:tcBorders>
              <w:bottom w:val="single" w:sz="4" w:space="0" w:color="808080" w:themeColor="background1" w:themeShade="80"/>
            </w:tcBorders>
          </w:tcPr>
          <w:p w:rsidR="00832B32" w:rsidRPr="00F74742" w:rsidRDefault="00832B32" w:rsidP="000209E8">
            <w:pPr>
              <w:tabs>
                <w:tab w:val="left" w:pos="1190"/>
              </w:tabs>
              <w:spacing w:before="200" w:after="200"/>
              <w:rPr>
                <w:rFonts w:cs="Arial"/>
              </w:rPr>
            </w:pPr>
          </w:p>
        </w:tc>
      </w:tr>
      <w:tr w:rsidR="00F5187C" w:rsidRPr="00F74742" w:rsidTr="00142DFA">
        <w:tc>
          <w:tcPr>
            <w:tcW w:w="9235" w:type="dxa"/>
            <w:gridSpan w:val="4"/>
            <w:tcBorders>
              <w:bottom w:val="nil"/>
            </w:tcBorders>
          </w:tcPr>
          <w:p w:rsidR="00F5187C" w:rsidRPr="00F74742" w:rsidRDefault="00F5187C" w:rsidP="000209E8">
            <w:pPr>
              <w:spacing w:before="200" w:after="200"/>
              <w:rPr>
                <w:rFonts w:cs="Arial"/>
                <w:b/>
              </w:rPr>
            </w:pPr>
            <w:r w:rsidRPr="00F74742">
              <w:rPr>
                <w:rFonts w:cs="Arial"/>
                <w:b/>
              </w:rPr>
              <w:t>Aufgabenformat</w:t>
            </w:r>
          </w:p>
        </w:tc>
      </w:tr>
      <w:tr w:rsidR="00F17F92" w:rsidRPr="00F74742" w:rsidTr="00142DFA">
        <w:trPr>
          <w:trHeight w:val="336"/>
        </w:trPr>
        <w:tc>
          <w:tcPr>
            <w:tcW w:w="3078" w:type="dxa"/>
            <w:gridSpan w:val="2"/>
            <w:tcBorders>
              <w:top w:val="nil"/>
              <w:bottom w:val="single" w:sz="4" w:space="0" w:color="808080" w:themeColor="background1" w:themeShade="80"/>
              <w:right w:val="nil"/>
            </w:tcBorders>
          </w:tcPr>
          <w:p w:rsidR="00F17F92" w:rsidRPr="00F74742" w:rsidRDefault="00F17F92" w:rsidP="000209E8">
            <w:pPr>
              <w:tabs>
                <w:tab w:val="left" w:pos="840"/>
              </w:tabs>
              <w:spacing w:before="200" w:after="200"/>
              <w:rPr>
                <w:rFonts w:cs="Arial"/>
                <w:b/>
              </w:rPr>
            </w:pPr>
            <w:r w:rsidRPr="00F74742">
              <w:rPr>
                <w:rFonts w:cs="Arial"/>
                <w:b/>
              </w:rPr>
              <w:t>offen</w:t>
            </w:r>
            <w:r w:rsidR="00334567" w:rsidRPr="00F74742">
              <w:rPr>
                <w:rFonts w:cs="Arial"/>
                <w:b/>
                <w:sz w:val="24"/>
                <w:szCs w:val="24"/>
              </w:rPr>
              <w:tab/>
            </w:r>
          </w:p>
        </w:tc>
        <w:tc>
          <w:tcPr>
            <w:tcW w:w="3078" w:type="dxa"/>
            <w:tcBorders>
              <w:top w:val="nil"/>
              <w:left w:val="nil"/>
              <w:bottom w:val="single" w:sz="4" w:space="0" w:color="808080" w:themeColor="background1" w:themeShade="80"/>
              <w:right w:val="nil"/>
            </w:tcBorders>
          </w:tcPr>
          <w:p w:rsidR="00F17F92" w:rsidRPr="00F74742" w:rsidRDefault="00EC0753" w:rsidP="000209E8">
            <w:pPr>
              <w:spacing w:before="200" w:after="200"/>
              <w:rPr>
                <w:rFonts w:cs="Arial"/>
                <w:b/>
              </w:rPr>
            </w:pPr>
            <w:r>
              <w:rPr>
                <w:rFonts w:cs="Arial"/>
                <w:b/>
              </w:rPr>
              <w:t>h</w:t>
            </w:r>
            <w:r w:rsidR="00F17F92" w:rsidRPr="00F74742">
              <w:rPr>
                <w:rFonts w:cs="Arial"/>
                <w:b/>
              </w:rPr>
              <w:t>alboffen</w:t>
            </w:r>
            <w:r w:rsidR="00B52EB2">
              <w:rPr>
                <w:rFonts w:cs="Arial"/>
                <w:b/>
              </w:rPr>
              <w:t xml:space="preserve"> </w:t>
            </w:r>
            <w:r w:rsidR="00447565">
              <w:rPr>
                <w:rFonts w:cs="Arial"/>
                <w:b/>
              </w:rPr>
              <w:t>x</w:t>
            </w:r>
          </w:p>
        </w:tc>
        <w:tc>
          <w:tcPr>
            <w:tcW w:w="3079" w:type="dxa"/>
            <w:tcBorders>
              <w:top w:val="nil"/>
              <w:left w:val="nil"/>
              <w:bottom w:val="single" w:sz="4" w:space="0" w:color="808080" w:themeColor="background1" w:themeShade="80"/>
            </w:tcBorders>
          </w:tcPr>
          <w:p w:rsidR="00F17F92" w:rsidRPr="00F74742" w:rsidRDefault="00F17F92" w:rsidP="000209E8">
            <w:pPr>
              <w:tabs>
                <w:tab w:val="left" w:pos="1735"/>
              </w:tabs>
              <w:spacing w:before="200" w:after="200"/>
              <w:rPr>
                <w:rFonts w:cs="Arial"/>
                <w:b/>
              </w:rPr>
            </w:pPr>
            <w:r w:rsidRPr="00F74742">
              <w:rPr>
                <w:rFonts w:cs="Arial"/>
                <w:b/>
              </w:rPr>
              <w:t>geschlossen</w:t>
            </w:r>
            <w:r w:rsidR="00334567" w:rsidRPr="00F74742">
              <w:rPr>
                <w:rFonts w:cs="Arial"/>
                <w:b/>
              </w:rPr>
              <w:tab/>
            </w:r>
          </w:p>
        </w:tc>
      </w:tr>
      <w:tr w:rsidR="00F17F92" w:rsidRPr="00F74742" w:rsidTr="00142DFA">
        <w:trPr>
          <w:trHeight w:val="269"/>
        </w:trPr>
        <w:tc>
          <w:tcPr>
            <w:tcW w:w="9235" w:type="dxa"/>
            <w:gridSpan w:val="4"/>
            <w:tcBorders>
              <w:bottom w:val="nil"/>
            </w:tcBorders>
          </w:tcPr>
          <w:p w:rsidR="00F17F92" w:rsidRPr="00F74742" w:rsidRDefault="00F17F92" w:rsidP="000209E8">
            <w:pPr>
              <w:spacing w:before="200" w:after="200"/>
              <w:rPr>
                <w:rFonts w:cs="Arial"/>
                <w:b/>
              </w:rPr>
            </w:pPr>
            <w:r w:rsidRPr="00F74742">
              <w:rPr>
                <w:rFonts w:cs="Arial"/>
                <w:b/>
              </w:rPr>
              <w:t xml:space="preserve">Erprobung </w:t>
            </w:r>
            <w:r w:rsidR="00971722" w:rsidRPr="00F74742">
              <w:rPr>
                <w:rFonts w:cs="Arial"/>
                <w:b/>
              </w:rPr>
              <w:t>im Unterricht</w:t>
            </w:r>
            <w:r w:rsidRPr="00F74742">
              <w:rPr>
                <w:rFonts w:cs="Arial"/>
                <w:b/>
              </w:rPr>
              <w:t>:</w:t>
            </w:r>
          </w:p>
        </w:tc>
      </w:tr>
      <w:tr w:rsidR="00F17F92" w:rsidRPr="00F74742" w:rsidTr="00142DFA">
        <w:trPr>
          <w:trHeight w:val="259"/>
        </w:trPr>
        <w:tc>
          <w:tcPr>
            <w:tcW w:w="3078" w:type="dxa"/>
            <w:gridSpan w:val="2"/>
            <w:tcBorders>
              <w:top w:val="nil"/>
              <w:bottom w:val="single" w:sz="4" w:space="0" w:color="808080" w:themeColor="background1" w:themeShade="80"/>
              <w:right w:val="nil"/>
            </w:tcBorders>
          </w:tcPr>
          <w:p w:rsidR="00F17F92" w:rsidRPr="00F74742" w:rsidRDefault="008A1768" w:rsidP="000209E8">
            <w:pPr>
              <w:spacing w:before="200" w:after="200"/>
              <w:rPr>
                <w:rFonts w:cs="Arial"/>
                <w:b/>
              </w:rPr>
            </w:pPr>
            <w:r w:rsidRPr="00F74742">
              <w:rPr>
                <w:rFonts w:cs="Arial"/>
                <w:b/>
              </w:rPr>
              <w:t>Datum</w:t>
            </w:r>
            <w:r w:rsidR="00F5187C" w:rsidRPr="00F74742">
              <w:rPr>
                <w:rFonts w:cs="Arial"/>
                <w:b/>
              </w:rPr>
              <w:t xml:space="preserve"> </w:t>
            </w:r>
          </w:p>
        </w:tc>
        <w:tc>
          <w:tcPr>
            <w:tcW w:w="3078" w:type="dxa"/>
            <w:tcBorders>
              <w:top w:val="nil"/>
              <w:left w:val="nil"/>
              <w:bottom w:val="single" w:sz="4" w:space="0" w:color="808080" w:themeColor="background1" w:themeShade="80"/>
              <w:right w:val="nil"/>
            </w:tcBorders>
          </w:tcPr>
          <w:p w:rsidR="00F17F92" w:rsidRPr="00F74742" w:rsidRDefault="00971722" w:rsidP="000209E8">
            <w:pPr>
              <w:spacing w:before="200" w:after="200"/>
              <w:rPr>
                <w:rFonts w:cs="Arial"/>
                <w:b/>
              </w:rPr>
            </w:pPr>
            <w:r w:rsidRPr="00F74742">
              <w:rPr>
                <w:rFonts w:cs="Arial"/>
                <w:b/>
              </w:rPr>
              <w:t>Jahrgangsstufe</w:t>
            </w:r>
            <w:r w:rsidR="00F17F92" w:rsidRPr="00F74742">
              <w:rPr>
                <w:rFonts w:cs="Arial"/>
                <w:b/>
              </w:rPr>
              <w:t>:</w:t>
            </w:r>
            <w:r w:rsidR="00F5187C" w:rsidRPr="00F74742">
              <w:rPr>
                <w:rFonts w:cs="Arial"/>
                <w:b/>
              </w:rPr>
              <w:t xml:space="preserve"> </w:t>
            </w:r>
          </w:p>
        </w:tc>
        <w:tc>
          <w:tcPr>
            <w:tcW w:w="3079" w:type="dxa"/>
            <w:tcBorders>
              <w:top w:val="nil"/>
              <w:left w:val="nil"/>
              <w:bottom w:val="single" w:sz="4" w:space="0" w:color="808080" w:themeColor="background1" w:themeShade="80"/>
            </w:tcBorders>
          </w:tcPr>
          <w:p w:rsidR="00F17F92" w:rsidRPr="00F74742" w:rsidRDefault="00F17F92" w:rsidP="000209E8">
            <w:pPr>
              <w:spacing w:before="200" w:after="200"/>
              <w:rPr>
                <w:rFonts w:cs="Arial"/>
                <w:b/>
              </w:rPr>
            </w:pPr>
            <w:r w:rsidRPr="00F74742">
              <w:rPr>
                <w:rFonts w:cs="Arial"/>
                <w:b/>
              </w:rPr>
              <w:t>Schulart:</w:t>
            </w:r>
            <w:r w:rsidR="00F5187C" w:rsidRPr="00F74742">
              <w:rPr>
                <w:rFonts w:cs="Arial"/>
                <w:b/>
              </w:rPr>
              <w:t xml:space="preserve"> </w:t>
            </w:r>
          </w:p>
        </w:tc>
      </w:tr>
      <w:tr w:rsidR="00F5187C" w:rsidRPr="00F74742" w:rsidTr="00C16860">
        <w:trPr>
          <w:trHeight w:val="259"/>
        </w:trPr>
        <w:tc>
          <w:tcPr>
            <w:tcW w:w="2802" w:type="dxa"/>
            <w:tcBorders>
              <w:top w:val="single" w:sz="4" w:space="0" w:color="808080" w:themeColor="background1" w:themeShade="80"/>
            </w:tcBorders>
          </w:tcPr>
          <w:p w:rsidR="00F5187C" w:rsidRPr="00F74742" w:rsidRDefault="00F5187C" w:rsidP="000209E8">
            <w:pPr>
              <w:spacing w:before="200" w:after="200"/>
              <w:rPr>
                <w:rFonts w:cs="Arial"/>
                <w:b/>
              </w:rPr>
            </w:pPr>
            <w:r w:rsidRPr="00F74742">
              <w:rPr>
                <w:rFonts w:cs="Arial"/>
                <w:b/>
              </w:rPr>
              <w:t>Verschlagwortung</w:t>
            </w:r>
          </w:p>
        </w:tc>
        <w:tc>
          <w:tcPr>
            <w:tcW w:w="6433" w:type="dxa"/>
            <w:gridSpan w:val="3"/>
            <w:tcBorders>
              <w:top w:val="single" w:sz="4" w:space="0" w:color="808080" w:themeColor="background1" w:themeShade="80"/>
            </w:tcBorders>
          </w:tcPr>
          <w:p w:rsidR="00F5187C" w:rsidRPr="00F74742" w:rsidRDefault="004E0576" w:rsidP="000209E8">
            <w:pPr>
              <w:spacing w:before="200" w:after="200"/>
              <w:rPr>
                <w:rFonts w:cs="Arial"/>
              </w:rPr>
            </w:pPr>
            <w:r>
              <w:rPr>
                <w:rFonts w:cs="Arial"/>
              </w:rPr>
              <w:t>Moralische Pflichten, Dilemmasituation, Umgang mit alten Menschen</w:t>
            </w:r>
          </w:p>
        </w:tc>
      </w:tr>
    </w:tbl>
    <w:p w:rsidR="00937B60" w:rsidRPr="00F74742" w:rsidRDefault="00937B60" w:rsidP="000209E8">
      <w:pPr>
        <w:spacing w:line="240" w:lineRule="auto"/>
        <w:rPr>
          <w:rFonts w:cs="Arial"/>
        </w:rPr>
        <w:sectPr w:rsidR="00937B60" w:rsidRPr="00F74742" w:rsidSect="00C2632F">
          <w:footerReference w:type="default" r:id="rId8"/>
          <w:pgSz w:w="11906" w:h="16838"/>
          <w:pgMar w:top="1417" w:right="1417" w:bottom="1134" w:left="1417" w:header="708" w:footer="708" w:gutter="0"/>
          <w:cols w:space="708"/>
          <w:docGrid w:linePitch="360"/>
        </w:sectPr>
      </w:pPr>
    </w:p>
    <w:p w:rsidR="00B94BD8" w:rsidRPr="00F74742" w:rsidRDefault="00B94BD8" w:rsidP="000209E8">
      <w:pPr>
        <w:spacing w:line="240" w:lineRule="auto"/>
        <w:rPr>
          <w:rFonts w:cs="Arial"/>
        </w:rPr>
      </w:pPr>
    </w:p>
    <w:p w:rsidR="002C1C59" w:rsidRPr="00F74742" w:rsidRDefault="002C1C59" w:rsidP="000209E8">
      <w:pPr>
        <w:spacing w:before="60" w:after="60"/>
        <w:rPr>
          <w:rFonts w:cs="Arial"/>
          <w:b/>
          <w:sz w:val="24"/>
          <w:szCs w:val="24"/>
        </w:rPr>
      </w:pPr>
    </w:p>
    <w:p w:rsidR="00CD3278" w:rsidRPr="0020115E" w:rsidRDefault="00CD3278" w:rsidP="000209E8">
      <w:pPr>
        <w:spacing w:before="60" w:after="60"/>
        <w:rPr>
          <w:rFonts w:cs="Arial"/>
          <w:b/>
          <w:sz w:val="24"/>
          <w:szCs w:val="24"/>
        </w:rPr>
      </w:pPr>
      <w:r w:rsidRPr="0020115E">
        <w:rPr>
          <w:rFonts w:cs="Arial"/>
          <w:b/>
          <w:sz w:val="24"/>
          <w:szCs w:val="24"/>
        </w:rPr>
        <w:t>Vorbemerkung</w:t>
      </w:r>
    </w:p>
    <w:p w:rsidR="00CD3278" w:rsidRPr="0020115E" w:rsidRDefault="00CD3278" w:rsidP="000209E8">
      <w:pPr>
        <w:spacing w:before="60" w:after="60"/>
        <w:rPr>
          <w:rFonts w:cs="Arial"/>
          <w:sz w:val="24"/>
          <w:szCs w:val="24"/>
        </w:rPr>
      </w:pPr>
    </w:p>
    <w:p w:rsidR="00A16097" w:rsidRDefault="006B2750" w:rsidP="000209E8">
      <w:pPr>
        <w:spacing w:before="60" w:after="60"/>
        <w:rPr>
          <w:rFonts w:cs="Arial"/>
          <w:sz w:val="24"/>
          <w:szCs w:val="24"/>
        </w:rPr>
      </w:pPr>
      <w:r>
        <w:rPr>
          <w:rFonts w:cs="Arial"/>
          <w:sz w:val="24"/>
          <w:szCs w:val="24"/>
        </w:rPr>
        <w:t>Die Aufgaben zur</w:t>
      </w:r>
      <w:r w:rsidR="0020115E" w:rsidRPr="0020115E">
        <w:rPr>
          <w:rFonts w:cs="Arial"/>
          <w:sz w:val="24"/>
          <w:szCs w:val="24"/>
        </w:rPr>
        <w:t xml:space="preserve"> Kompetenz</w:t>
      </w:r>
      <w:r w:rsidR="00001A1A">
        <w:rPr>
          <w:rFonts w:cs="Arial"/>
          <w:sz w:val="24"/>
          <w:szCs w:val="24"/>
        </w:rPr>
        <w:t xml:space="preserve"> </w:t>
      </w:r>
      <w:r w:rsidR="00B52EB2">
        <w:rPr>
          <w:rFonts w:cs="Arial"/>
          <w:sz w:val="24"/>
          <w:szCs w:val="24"/>
        </w:rPr>
        <w:t>Urteilen</w:t>
      </w:r>
      <w:r w:rsidR="0020115E">
        <w:rPr>
          <w:rFonts w:cs="Arial"/>
          <w:sz w:val="24"/>
          <w:szCs w:val="24"/>
        </w:rPr>
        <w:t xml:space="preserve"> </w:t>
      </w:r>
      <w:r w:rsidR="00B52EB2">
        <w:rPr>
          <w:rFonts w:cs="Arial"/>
          <w:sz w:val="24"/>
          <w:szCs w:val="24"/>
        </w:rPr>
        <w:t xml:space="preserve">geben </w:t>
      </w:r>
      <w:r w:rsidR="0020115E">
        <w:rPr>
          <w:rFonts w:cs="Arial"/>
          <w:sz w:val="24"/>
          <w:szCs w:val="24"/>
        </w:rPr>
        <w:t xml:space="preserve">den Schülerinnen und Schülern durch die Präsentation verschiedener </w:t>
      </w:r>
      <w:r w:rsidR="00B52EB2">
        <w:rPr>
          <w:rFonts w:cs="Arial"/>
          <w:sz w:val="24"/>
          <w:szCs w:val="24"/>
        </w:rPr>
        <w:t xml:space="preserve">ethischer </w:t>
      </w:r>
      <w:r w:rsidR="00DF1F88">
        <w:rPr>
          <w:rFonts w:cs="Arial"/>
          <w:sz w:val="24"/>
          <w:szCs w:val="24"/>
        </w:rPr>
        <w:t xml:space="preserve">bzw. philosophischer Problemstellungen </w:t>
      </w:r>
      <w:r w:rsidR="0020115E">
        <w:rPr>
          <w:rFonts w:cs="Arial"/>
          <w:sz w:val="24"/>
          <w:szCs w:val="24"/>
        </w:rPr>
        <w:t xml:space="preserve">die Möglichkeit, </w:t>
      </w:r>
      <w:r w:rsidR="00B52EB2">
        <w:rPr>
          <w:rFonts w:cs="Arial"/>
          <w:sz w:val="24"/>
          <w:szCs w:val="24"/>
        </w:rPr>
        <w:t>begründete Urteile zu entwickeln</w:t>
      </w:r>
      <w:r w:rsidR="0020115E">
        <w:rPr>
          <w:rFonts w:cs="Arial"/>
          <w:sz w:val="24"/>
          <w:szCs w:val="24"/>
        </w:rPr>
        <w:t xml:space="preserve">. </w:t>
      </w:r>
      <w:r w:rsidR="00DF1F88">
        <w:rPr>
          <w:rFonts w:cs="Arial"/>
          <w:sz w:val="24"/>
          <w:szCs w:val="24"/>
        </w:rPr>
        <w:t>Dabei ist zu berücksichti</w:t>
      </w:r>
      <w:r>
        <w:rPr>
          <w:rFonts w:cs="Arial"/>
          <w:sz w:val="24"/>
          <w:szCs w:val="24"/>
        </w:rPr>
        <w:t xml:space="preserve">gen, dass die Kompetenz </w:t>
      </w:r>
      <w:r w:rsidR="00001A1A">
        <w:rPr>
          <w:rFonts w:cs="Arial"/>
          <w:sz w:val="24"/>
          <w:szCs w:val="24"/>
        </w:rPr>
        <w:t>Urteilen</w:t>
      </w:r>
      <w:r w:rsidR="00DF1F88">
        <w:rPr>
          <w:rFonts w:cs="Arial"/>
          <w:sz w:val="24"/>
          <w:szCs w:val="24"/>
        </w:rPr>
        <w:t xml:space="preserve"> die anderen Kompetenz</w:t>
      </w:r>
      <w:r>
        <w:rPr>
          <w:rFonts w:cs="Arial"/>
          <w:sz w:val="24"/>
          <w:szCs w:val="24"/>
        </w:rPr>
        <w:t>en</w:t>
      </w:r>
      <w:r w:rsidR="00DF1F88">
        <w:rPr>
          <w:rFonts w:cs="Arial"/>
          <w:sz w:val="24"/>
          <w:szCs w:val="24"/>
        </w:rPr>
        <w:t xml:space="preserve"> der jeweili</w:t>
      </w:r>
      <w:r>
        <w:rPr>
          <w:rFonts w:cs="Arial"/>
          <w:sz w:val="24"/>
          <w:szCs w:val="24"/>
        </w:rPr>
        <w:t>gen Kompetenzbere</w:t>
      </w:r>
      <w:r>
        <w:rPr>
          <w:rFonts w:cs="Arial"/>
          <w:sz w:val="24"/>
          <w:szCs w:val="24"/>
        </w:rPr>
        <w:t>i</w:t>
      </w:r>
      <w:r>
        <w:rPr>
          <w:rFonts w:cs="Arial"/>
          <w:sz w:val="24"/>
          <w:szCs w:val="24"/>
        </w:rPr>
        <w:t>che</w:t>
      </w:r>
      <w:r w:rsidR="00DF1F88">
        <w:rPr>
          <w:rFonts w:cs="Arial"/>
          <w:sz w:val="24"/>
          <w:szCs w:val="24"/>
        </w:rPr>
        <w:t xml:space="preserve"> voraussetzt. Um zu einem begründeten und reflektierten Urteil zu gelangen, </w:t>
      </w:r>
      <w:r w:rsidR="00DF1F88">
        <w:rPr>
          <w:rFonts w:cs="Arial"/>
          <w:sz w:val="24"/>
          <w:szCs w:val="24"/>
        </w:rPr>
        <w:lastRenderedPageBreak/>
        <w:t>muss zunächst das ethische bzw. philosophische Problem wahrgenommen und g</w:t>
      </w:r>
      <w:r w:rsidR="00DF1F88">
        <w:rPr>
          <w:rFonts w:cs="Arial"/>
          <w:sz w:val="24"/>
          <w:szCs w:val="24"/>
        </w:rPr>
        <w:t>e</w:t>
      </w:r>
      <w:r w:rsidR="00DF1F88">
        <w:rPr>
          <w:rFonts w:cs="Arial"/>
          <w:sz w:val="24"/>
          <w:szCs w:val="24"/>
        </w:rPr>
        <w:t>deutet werden. Dann müssen die verschiedenen Perspektiven eingenommen und entsprechende ethische bzw. philosophische Positionen und ihre Argumente erarbe</w:t>
      </w:r>
      <w:r w:rsidR="00DF1F88">
        <w:rPr>
          <w:rFonts w:cs="Arial"/>
          <w:sz w:val="24"/>
          <w:szCs w:val="24"/>
        </w:rPr>
        <w:t>i</w:t>
      </w:r>
      <w:r w:rsidR="00DF1F88">
        <w:rPr>
          <w:rFonts w:cs="Arial"/>
          <w:sz w:val="24"/>
          <w:szCs w:val="24"/>
        </w:rPr>
        <w:t>tet und beurteilt werden. Dazu ist jeweils eine Verständigung im Dialog erforderlich. Erst auf dieser Grundlage kann ein begründetes und reflektiertes Urteil verfasst we</w:t>
      </w:r>
      <w:r w:rsidR="00DF1F88">
        <w:rPr>
          <w:rFonts w:cs="Arial"/>
          <w:sz w:val="24"/>
          <w:szCs w:val="24"/>
        </w:rPr>
        <w:t>r</w:t>
      </w:r>
      <w:r w:rsidR="00001A1A">
        <w:rPr>
          <w:rFonts w:cs="Arial"/>
          <w:sz w:val="24"/>
          <w:szCs w:val="24"/>
        </w:rPr>
        <w:t>den; vgl. dazu auch RLP, Kap. 1.2</w:t>
      </w:r>
      <w:r w:rsidR="00DF1F88" w:rsidRPr="00DF1F88">
        <w:rPr>
          <w:rFonts w:cs="Arial"/>
          <w:sz w:val="24"/>
          <w:szCs w:val="24"/>
        </w:rPr>
        <w:t xml:space="preserve">: </w:t>
      </w:r>
      <w:r w:rsidR="00DF1F88">
        <w:rPr>
          <w:rFonts w:cs="Arial"/>
          <w:sz w:val="24"/>
          <w:szCs w:val="24"/>
        </w:rPr>
        <w:t>„</w:t>
      </w:r>
      <w:r w:rsidR="00DF1F88" w:rsidRPr="00DF1F88">
        <w:rPr>
          <w:sz w:val="24"/>
          <w:szCs w:val="24"/>
        </w:rPr>
        <w:t>Zentrale Voraussetzungen für die Entwicklung des Kom</w:t>
      </w:r>
      <w:r w:rsidR="00001A1A">
        <w:rPr>
          <w:sz w:val="24"/>
          <w:szCs w:val="24"/>
        </w:rPr>
        <w:t xml:space="preserve">petenzbereichs Argumentieren und urteilen sind die Kompetenzbereiche </w:t>
      </w:r>
      <w:r w:rsidR="00DF1F88" w:rsidRPr="00DF1F88">
        <w:rPr>
          <w:sz w:val="24"/>
          <w:szCs w:val="24"/>
        </w:rPr>
        <w:t>Wahr</w:t>
      </w:r>
      <w:r w:rsidR="00001A1A">
        <w:rPr>
          <w:sz w:val="24"/>
          <w:szCs w:val="24"/>
        </w:rPr>
        <w:t>nehmen und deuten</w:t>
      </w:r>
      <w:r w:rsidR="00DF1F88" w:rsidRPr="00DF1F88">
        <w:rPr>
          <w:sz w:val="24"/>
          <w:szCs w:val="24"/>
        </w:rPr>
        <w:t xml:space="preserve">, </w:t>
      </w:r>
      <w:r w:rsidR="00001A1A">
        <w:rPr>
          <w:sz w:val="24"/>
          <w:szCs w:val="24"/>
        </w:rPr>
        <w:t xml:space="preserve">Perspektiven einnehmen und </w:t>
      </w:r>
      <w:r w:rsidR="00DF1F88" w:rsidRPr="00DF1F88">
        <w:rPr>
          <w:sz w:val="24"/>
          <w:szCs w:val="24"/>
        </w:rPr>
        <w:t>Sich im Dialog verständ</w:t>
      </w:r>
      <w:r w:rsidR="00DF1F88" w:rsidRPr="00DF1F88">
        <w:rPr>
          <w:sz w:val="24"/>
          <w:szCs w:val="24"/>
        </w:rPr>
        <w:t>i</w:t>
      </w:r>
      <w:r w:rsidR="00001A1A">
        <w:rPr>
          <w:sz w:val="24"/>
          <w:szCs w:val="24"/>
        </w:rPr>
        <w:t>gen</w:t>
      </w:r>
      <w:r w:rsidR="00DF1F88" w:rsidRPr="00DF1F88">
        <w:rPr>
          <w:sz w:val="24"/>
          <w:szCs w:val="24"/>
        </w:rPr>
        <w:t>.</w:t>
      </w:r>
      <w:r w:rsidR="00001A1A">
        <w:rPr>
          <w:sz w:val="24"/>
          <w:szCs w:val="24"/>
        </w:rPr>
        <w:t>“</w:t>
      </w:r>
    </w:p>
    <w:p w:rsidR="00A16097" w:rsidRDefault="00A16097" w:rsidP="000209E8">
      <w:pPr>
        <w:spacing w:before="60" w:after="60"/>
        <w:rPr>
          <w:rFonts w:cs="Arial"/>
          <w:sz w:val="24"/>
          <w:szCs w:val="24"/>
        </w:rPr>
      </w:pPr>
      <w:r>
        <w:rPr>
          <w:rFonts w:cs="Arial"/>
          <w:sz w:val="24"/>
          <w:szCs w:val="24"/>
        </w:rPr>
        <w:t>Die Aufgaben und die Angaben des Erwartungshorizonts sind bezogen auf die Ko</w:t>
      </w:r>
      <w:r>
        <w:rPr>
          <w:rFonts w:cs="Arial"/>
          <w:sz w:val="24"/>
          <w:szCs w:val="24"/>
        </w:rPr>
        <w:t>m</w:t>
      </w:r>
      <w:r w:rsidR="00001A1A">
        <w:rPr>
          <w:rFonts w:cs="Arial"/>
          <w:sz w:val="24"/>
          <w:szCs w:val="24"/>
        </w:rPr>
        <w:t>petenz Urteilen</w:t>
      </w:r>
      <w:r>
        <w:rPr>
          <w:rFonts w:cs="Arial"/>
          <w:sz w:val="24"/>
          <w:szCs w:val="24"/>
        </w:rPr>
        <w:t>. Diese Kompetenz wird erst im Anschluss an die anderen Kompete</w:t>
      </w:r>
      <w:r>
        <w:rPr>
          <w:rFonts w:cs="Arial"/>
          <w:sz w:val="24"/>
          <w:szCs w:val="24"/>
        </w:rPr>
        <w:t>n</w:t>
      </w:r>
      <w:r w:rsidR="00001A1A">
        <w:rPr>
          <w:rFonts w:cs="Arial"/>
          <w:sz w:val="24"/>
          <w:szCs w:val="24"/>
        </w:rPr>
        <w:t xml:space="preserve">zen des Kompetenzbereichs </w:t>
      </w:r>
      <w:r>
        <w:rPr>
          <w:rFonts w:cs="Arial"/>
          <w:sz w:val="24"/>
          <w:szCs w:val="24"/>
        </w:rPr>
        <w:t>Argumentie</w:t>
      </w:r>
      <w:r w:rsidR="00001A1A">
        <w:rPr>
          <w:rFonts w:cs="Arial"/>
          <w:sz w:val="24"/>
          <w:szCs w:val="24"/>
        </w:rPr>
        <w:t>ren und Urteilen</w:t>
      </w:r>
      <w:r>
        <w:rPr>
          <w:rFonts w:cs="Arial"/>
          <w:sz w:val="24"/>
          <w:szCs w:val="24"/>
        </w:rPr>
        <w:t xml:space="preserve"> realisiert. Daher fehlen in den Aufgaben auch Arbeitshinweise</w:t>
      </w:r>
      <w:r w:rsidR="00F92FC7">
        <w:rPr>
          <w:rFonts w:cs="Arial"/>
          <w:sz w:val="24"/>
          <w:szCs w:val="24"/>
        </w:rPr>
        <w:t>,</w:t>
      </w:r>
      <w:r>
        <w:rPr>
          <w:rFonts w:cs="Arial"/>
          <w:sz w:val="24"/>
          <w:szCs w:val="24"/>
        </w:rPr>
        <w:t xml:space="preserve"> wie z. B.</w:t>
      </w:r>
      <w:r w:rsidR="00F92FC7">
        <w:rPr>
          <w:rFonts w:cs="Arial"/>
          <w:sz w:val="24"/>
          <w:szCs w:val="24"/>
        </w:rPr>
        <w:t>:</w:t>
      </w:r>
      <w:r>
        <w:rPr>
          <w:rFonts w:cs="Arial"/>
          <w:sz w:val="24"/>
          <w:szCs w:val="24"/>
        </w:rPr>
        <w:t xml:space="preserve"> „Erstelle zu dem zur Diskussion st</w:t>
      </w:r>
      <w:r>
        <w:rPr>
          <w:rFonts w:cs="Arial"/>
          <w:sz w:val="24"/>
          <w:szCs w:val="24"/>
        </w:rPr>
        <w:t>e</w:t>
      </w:r>
      <w:r>
        <w:rPr>
          <w:rFonts w:cs="Arial"/>
          <w:sz w:val="24"/>
          <w:szCs w:val="24"/>
        </w:rPr>
        <w:t>henden Problem eine Pro- und Kontratabelle. Finde für jede Spa</w:t>
      </w:r>
      <w:r w:rsidR="00001A1A">
        <w:rPr>
          <w:rFonts w:cs="Arial"/>
          <w:sz w:val="24"/>
          <w:szCs w:val="24"/>
        </w:rPr>
        <w:t>lte mindestens zwei Argumente.“</w:t>
      </w:r>
      <w:r>
        <w:rPr>
          <w:rFonts w:cs="Arial"/>
          <w:sz w:val="24"/>
          <w:szCs w:val="24"/>
        </w:rPr>
        <w:t xml:space="preserve"> Dieser Arbeitshinweis berücksichtigt</w:t>
      </w:r>
      <w:r w:rsidR="00001A1A">
        <w:rPr>
          <w:rFonts w:cs="Arial"/>
          <w:sz w:val="24"/>
          <w:szCs w:val="24"/>
        </w:rPr>
        <w:t xml:space="preserve"> insbesondere die Kompetenz </w:t>
      </w:r>
      <w:r>
        <w:rPr>
          <w:rFonts w:cs="Arial"/>
          <w:sz w:val="24"/>
          <w:szCs w:val="24"/>
        </w:rPr>
        <w:t>A</w:t>
      </w:r>
      <w:r>
        <w:rPr>
          <w:rFonts w:cs="Arial"/>
          <w:sz w:val="24"/>
          <w:szCs w:val="24"/>
        </w:rPr>
        <w:t>r</w:t>
      </w:r>
      <w:r w:rsidR="00001A1A">
        <w:rPr>
          <w:rFonts w:cs="Arial"/>
          <w:sz w:val="24"/>
          <w:szCs w:val="24"/>
        </w:rPr>
        <w:t>gumentieren</w:t>
      </w:r>
      <w:r>
        <w:rPr>
          <w:rFonts w:cs="Arial"/>
          <w:sz w:val="24"/>
          <w:szCs w:val="24"/>
        </w:rPr>
        <w:t>. Natürlich müssen die Lernenden, bevor sie ein begründetes Urteil e</w:t>
      </w:r>
      <w:r>
        <w:rPr>
          <w:rFonts w:cs="Arial"/>
          <w:sz w:val="24"/>
          <w:szCs w:val="24"/>
        </w:rPr>
        <w:t>r</w:t>
      </w:r>
      <w:r>
        <w:rPr>
          <w:rFonts w:cs="Arial"/>
          <w:sz w:val="24"/>
          <w:szCs w:val="24"/>
        </w:rPr>
        <w:t>stellen können, immer schon verschiedene Argumente erarbeitet und geprüft haben. Auch dies bedarf der Anleitung durch die Lehrkraft. Um den Schw</w:t>
      </w:r>
      <w:r w:rsidR="00001A1A">
        <w:rPr>
          <w:rFonts w:cs="Arial"/>
          <w:sz w:val="24"/>
          <w:szCs w:val="24"/>
        </w:rPr>
        <w:t xml:space="preserve">erpunkt Urteilen </w:t>
      </w:r>
      <w:r>
        <w:rPr>
          <w:rFonts w:cs="Arial"/>
          <w:sz w:val="24"/>
          <w:szCs w:val="24"/>
        </w:rPr>
        <w:t xml:space="preserve">deutlich zu machen, wird in den Aufgaben und im jeweiligen Erwartungshorizont auf diese vorausgehenden Schritte </w:t>
      </w:r>
      <w:r w:rsidR="008D76B3">
        <w:rPr>
          <w:rFonts w:cs="Arial"/>
          <w:sz w:val="24"/>
          <w:szCs w:val="24"/>
        </w:rPr>
        <w:t>verzichtet</w:t>
      </w:r>
      <w:r>
        <w:rPr>
          <w:rFonts w:cs="Arial"/>
          <w:sz w:val="24"/>
          <w:szCs w:val="24"/>
        </w:rPr>
        <w:t>.</w:t>
      </w:r>
    </w:p>
    <w:p w:rsidR="0081228D" w:rsidRPr="00A16097" w:rsidRDefault="0081228D" w:rsidP="000209E8">
      <w:pPr>
        <w:spacing w:before="60" w:after="60"/>
        <w:rPr>
          <w:rFonts w:cs="Arial"/>
          <w:sz w:val="24"/>
          <w:szCs w:val="24"/>
        </w:rPr>
      </w:pPr>
      <w:r>
        <w:rPr>
          <w:rFonts w:cs="Arial"/>
          <w:b/>
          <w:sz w:val="24"/>
          <w:szCs w:val="24"/>
        </w:rPr>
        <w:br w:type="page"/>
      </w:r>
    </w:p>
    <w:p w:rsidR="00F5187C" w:rsidRPr="00F74742" w:rsidRDefault="00F5187C" w:rsidP="000209E8">
      <w:pPr>
        <w:spacing w:before="60" w:after="60"/>
        <w:rPr>
          <w:rFonts w:cs="Arial"/>
          <w:b/>
          <w:sz w:val="24"/>
          <w:szCs w:val="24"/>
        </w:rPr>
      </w:pPr>
      <w:r w:rsidRPr="00F74742">
        <w:rPr>
          <w:rFonts w:cs="Arial"/>
          <w:b/>
          <w:sz w:val="24"/>
          <w:szCs w:val="24"/>
        </w:rPr>
        <w:lastRenderedPageBreak/>
        <w:t>Material</w:t>
      </w:r>
      <w:r w:rsidR="002C1C59" w:rsidRPr="00F74742">
        <w:rPr>
          <w:rFonts w:cs="Arial"/>
          <w:b/>
          <w:sz w:val="24"/>
          <w:szCs w:val="24"/>
        </w:rPr>
        <w:t>ien</w:t>
      </w:r>
      <w:r w:rsidRPr="00F74742">
        <w:rPr>
          <w:rFonts w:cs="Arial"/>
          <w:b/>
          <w:sz w:val="24"/>
          <w:szCs w:val="24"/>
        </w:rPr>
        <w:t xml:space="preserve">: </w:t>
      </w:r>
    </w:p>
    <w:p w:rsidR="002C1C59" w:rsidRPr="00F74742" w:rsidRDefault="002C1C59" w:rsidP="000209E8">
      <w:pPr>
        <w:spacing w:before="60" w:after="60"/>
        <w:rPr>
          <w:rFonts w:cs="Arial"/>
          <w:b/>
          <w:sz w:val="24"/>
          <w:szCs w:val="24"/>
        </w:rPr>
      </w:pPr>
    </w:p>
    <w:p w:rsidR="002C1C59" w:rsidRPr="0081228D" w:rsidRDefault="006026BF" w:rsidP="000209E8">
      <w:pPr>
        <w:rPr>
          <w:rFonts w:cs="Arial"/>
          <w:b/>
          <w:sz w:val="24"/>
          <w:szCs w:val="24"/>
        </w:rPr>
      </w:pPr>
      <w:r>
        <w:rPr>
          <w:rFonts w:cs="Arial"/>
          <w:b/>
          <w:sz w:val="24"/>
          <w:szCs w:val="24"/>
        </w:rPr>
        <w:t>M 1</w:t>
      </w:r>
    </w:p>
    <w:p w:rsidR="003D72B1" w:rsidRDefault="006B2750" w:rsidP="000209E8">
      <w:pPr>
        <w:autoSpaceDE w:val="0"/>
        <w:autoSpaceDN w:val="0"/>
        <w:adjustRightInd w:val="0"/>
        <w:spacing w:line="240" w:lineRule="auto"/>
        <w:rPr>
          <w:rFonts w:cs="Arial"/>
          <w:b/>
          <w:bCs/>
          <w:sz w:val="24"/>
          <w:szCs w:val="24"/>
          <w:lang w:eastAsia="de-DE"/>
        </w:rPr>
      </w:pPr>
      <w:r>
        <w:rPr>
          <w:rFonts w:cs="Arial"/>
          <w:b/>
          <w:bCs/>
          <w:sz w:val="24"/>
          <w:szCs w:val="24"/>
          <w:lang w:eastAsia="de-DE"/>
        </w:rPr>
        <w:t>Kino oder Altenbesuch – Was soll ich tun?</w:t>
      </w:r>
    </w:p>
    <w:p w:rsidR="0081228D" w:rsidRPr="0081228D" w:rsidRDefault="0081228D" w:rsidP="000209E8">
      <w:pPr>
        <w:autoSpaceDE w:val="0"/>
        <w:autoSpaceDN w:val="0"/>
        <w:adjustRightInd w:val="0"/>
        <w:spacing w:line="240" w:lineRule="auto"/>
        <w:rPr>
          <w:rFonts w:cs="Arial"/>
          <w:b/>
          <w:bCs/>
          <w:sz w:val="24"/>
          <w:szCs w:val="24"/>
          <w:lang w:eastAsia="de-DE"/>
        </w:rPr>
      </w:pPr>
    </w:p>
    <w:p w:rsidR="003D72B1" w:rsidRDefault="00B52EB2" w:rsidP="000209E8">
      <w:pPr>
        <w:autoSpaceDE w:val="0"/>
        <w:autoSpaceDN w:val="0"/>
        <w:adjustRightInd w:val="0"/>
        <w:spacing w:line="240" w:lineRule="auto"/>
        <w:rPr>
          <w:rFonts w:cs="Arial"/>
          <w:lang w:eastAsia="de-DE"/>
        </w:rPr>
      </w:pPr>
      <w:r>
        <w:rPr>
          <w:rFonts w:cs="Arial"/>
          <w:lang w:eastAsia="de-DE"/>
        </w:rPr>
        <w:t xml:space="preserve">Tina </w:t>
      </w:r>
      <w:r w:rsidR="002E432B">
        <w:rPr>
          <w:rFonts w:cs="Arial"/>
          <w:lang w:eastAsia="de-DE"/>
        </w:rPr>
        <w:t xml:space="preserve">ist 13 Jahre alt und </w:t>
      </w:r>
      <w:r>
        <w:rPr>
          <w:rFonts w:cs="Arial"/>
          <w:lang w:eastAsia="de-DE"/>
        </w:rPr>
        <w:t>wohnt mit ihren Eltern in einem Mehrfamilienhaus</w:t>
      </w:r>
      <w:r w:rsidR="00E04327">
        <w:rPr>
          <w:rFonts w:cs="Arial"/>
          <w:lang w:eastAsia="de-DE"/>
        </w:rPr>
        <w:t xml:space="preserve"> in Spandau</w:t>
      </w:r>
      <w:r>
        <w:rPr>
          <w:rFonts w:cs="Arial"/>
          <w:lang w:eastAsia="de-DE"/>
        </w:rPr>
        <w:t xml:space="preserve">. In der Wohnung nebenan wohnt ein alter Mann, </w:t>
      </w:r>
      <w:r w:rsidR="002E432B">
        <w:rPr>
          <w:rFonts w:cs="Arial"/>
          <w:lang w:eastAsia="de-DE"/>
        </w:rPr>
        <w:t xml:space="preserve">Herr Hama, </w:t>
      </w:r>
      <w:r>
        <w:rPr>
          <w:rFonts w:cs="Arial"/>
          <w:lang w:eastAsia="de-DE"/>
        </w:rPr>
        <w:t xml:space="preserve">der aufgrund seines körperlichen Zustandes seine Wohnung nicht mehr verlassen kann. </w:t>
      </w:r>
      <w:r w:rsidR="002E432B">
        <w:rPr>
          <w:rFonts w:cs="Arial"/>
          <w:lang w:eastAsia="de-DE"/>
        </w:rPr>
        <w:t>Tina</w:t>
      </w:r>
      <w:r w:rsidR="006026BF">
        <w:rPr>
          <w:rFonts w:cs="Arial"/>
          <w:lang w:eastAsia="de-DE"/>
        </w:rPr>
        <w:t xml:space="preserve"> kennt </w:t>
      </w:r>
      <w:r w:rsidR="002E432B">
        <w:rPr>
          <w:rFonts w:cs="Arial"/>
          <w:lang w:eastAsia="de-DE"/>
        </w:rPr>
        <w:t>Herrn Hama, seit sie de</w:t>
      </w:r>
      <w:r w:rsidR="002E432B">
        <w:rPr>
          <w:rFonts w:cs="Arial"/>
          <w:lang w:eastAsia="de-DE"/>
        </w:rPr>
        <w:t>n</w:t>
      </w:r>
      <w:r w:rsidR="002E432B">
        <w:rPr>
          <w:rFonts w:cs="Arial"/>
          <w:lang w:eastAsia="de-DE"/>
        </w:rPr>
        <w:t>ken kann. Früher, als sie noch auf dem Spielplatz im Hof spielte, saß er manchmal unten auf der Bank und die beiden unterhielten sich. Seit er nicht mehr aus dem Haus gehen kann, besucht Tina ihn jeden Mittwochabend in seiner Wohnung. Sie liest ihm aus der Zeitung vor, die beiden spie</w:t>
      </w:r>
      <w:r w:rsidR="006026BF">
        <w:rPr>
          <w:rFonts w:cs="Arial"/>
          <w:lang w:eastAsia="de-DE"/>
        </w:rPr>
        <w:t xml:space="preserve">len Karten oder </w:t>
      </w:r>
      <w:r w:rsidR="002E432B">
        <w:rPr>
          <w:rFonts w:cs="Arial"/>
          <w:lang w:eastAsia="de-DE"/>
        </w:rPr>
        <w:t xml:space="preserve">Herr Hama erzählt von </w:t>
      </w:r>
      <w:r w:rsidR="006026BF">
        <w:rPr>
          <w:rFonts w:cs="Arial"/>
          <w:lang w:eastAsia="de-DE"/>
        </w:rPr>
        <w:t>seiner eigenen Kindheit</w:t>
      </w:r>
      <w:r w:rsidR="002E432B">
        <w:rPr>
          <w:rFonts w:cs="Arial"/>
          <w:lang w:eastAsia="de-DE"/>
        </w:rPr>
        <w:t>. Tina geht sehr gern zu ihm. Auch Herr Hama freut sich bereits lange vorher auf den Besuch von Tina</w:t>
      </w:r>
      <w:r w:rsidR="006026BF">
        <w:rPr>
          <w:rFonts w:cs="Arial"/>
          <w:lang w:eastAsia="de-DE"/>
        </w:rPr>
        <w:t xml:space="preserve">, da er keine Angehörigen hat und außer dem Pflegedienst nie </w:t>
      </w:r>
      <w:r w:rsidR="00E04327">
        <w:rPr>
          <w:rFonts w:cs="Arial"/>
          <w:lang w:eastAsia="de-DE"/>
        </w:rPr>
        <w:t xml:space="preserve">jemand zu </w:t>
      </w:r>
      <w:r w:rsidR="006026BF">
        <w:rPr>
          <w:rFonts w:cs="Arial"/>
          <w:lang w:eastAsia="de-DE"/>
        </w:rPr>
        <w:t>Besuch kommt</w:t>
      </w:r>
      <w:r w:rsidR="002E432B">
        <w:rPr>
          <w:rFonts w:cs="Arial"/>
          <w:lang w:eastAsia="de-DE"/>
        </w:rPr>
        <w:t>.</w:t>
      </w:r>
    </w:p>
    <w:p w:rsidR="006026BF" w:rsidRDefault="006026BF" w:rsidP="000209E8">
      <w:pPr>
        <w:autoSpaceDE w:val="0"/>
        <w:autoSpaceDN w:val="0"/>
        <w:adjustRightInd w:val="0"/>
        <w:spacing w:line="240" w:lineRule="auto"/>
        <w:rPr>
          <w:rFonts w:cs="Arial"/>
          <w:lang w:eastAsia="de-DE"/>
        </w:rPr>
      </w:pPr>
    </w:p>
    <w:p w:rsidR="002E432B" w:rsidRDefault="002E432B" w:rsidP="000209E8">
      <w:pPr>
        <w:autoSpaceDE w:val="0"/>
        <w:autoSpaceDN w:val="0"/>
        <w:adjustRightInd w:val="0"/>
        <w:spacing w:line="240" w:lineRule="auto"/>
        <w:rPr>
          <w:rFonts w:cs="Arial"/>
          <w:lang w:eastAsia="de-DE"/>
        </w:rPr>
      </w:pPr>
      <w:r>
        <w:rPr>
          <w:rFonts w:cs="Arial"/>
          <w:lang w:eastAsia="de-DE"/>
        </w:rPr>
        <w:t>Heute Abend ist es wieder soweit, Tina wird wie immer Herrn Hama besuchen. Eine Stunde vor der verabredeten Zeit ruft plötzlich Mira an. Mira ist erst seit wenigen Wochen in Tinas Klasse, sie ist aus einem anderen Bundesland nach Berlin gezogen. Tina fand Mira von A</w:t>
      </w:r>
      <w:r>
        <w:rPr>
          <w:rFonts w:cs="Arial"/>
          <w:lang w:eastAsia="de-DE"/>
        </w:rPr>
        <w:t>n</w:t>
      </w:r>
      <w:r>
        <w:rPr>
          <w:rFonts w:cs="Arial"/>
          <w:lang w:eastAsia="de-DE"/>
        </w:rPr>
        <w:t>fang an toll. Auch die anderen aus ihrer Klasse, selbst die Jungen, sind ganz begeistert von Mira. Und nun ruft Mira Tina an. Mira will mit Tina ins Kino gehen. Aber sie hat nur heute Abend Zeit für Tina. Morgen ist sie bereits mit jemand anderem verabredet. Tina ist hin- und hergerissen. Soll sie die Chance nutzen, mit Mira ins Kino gehen? Vielleicht entwickelt sich ja aus dem Kinobesuch eine neue Freundschaft? Aber was ist mit Herrn H</w:t>
      </w:r>
      <w:r w:rsidR="00001A1A">
        <w:rPr>
          <w:rFonts w:cs="Arial"/>
          <w:lang w:eastAsia="de-DE"/>
        </w:rPr>
        <w:t>ama? Der wartet doch wie jeden Mittwocha</w:t>
      </w:r>
      <w:r>
        <w:rPr>
          <w:rFonts w:cs="Arial"/>
          <w:lang w:eastAsia="de-DE"/>
        </w:rPr>
        <w:t>bend auf sie.</w:t>
      </w:r>
    </w:p>
    <w:p w:rsidR="00E04327" w:rsidRDefault="00E04327" w:rsidP="000209E8">
      <w:pPr>
        <w:autoSpaceDE w:val="0"/>
        <w:autoSpaceDN w:val="0"/>
        <w:adjustRightInd w:val="0"/>
        <w:spacing w:line="240" w:lineRule="auto"/>
        <w:rPr>
          <w:rFonts w:cs="Arial"/>
          <w:lang w:eastAsia="de-DE"/>
        </w:rPr>
      </w:pPr>
    </w:p>
    <w:p w:rsidR="00B52EB2" w:rsidRDefault="00E04327" w:rsidP="000209E8">
      <w:pPr>
        <w:autoSpaceDE w:val="0"/>
        <w:autoSpaceDN w:val="0"/>
        <w:adjustRightInd w:val="0"/>
        <w:spacing w:line="240" w:lineRule="auto"/>
        <w:rPr>
          <w:rFonts w:cs="Arial"/>
          <w:lang w:eastAsia="de-DE"/>
        </w:rPr>
      </w:pPr>
      <w:r>
        <w:rPr>
          <w:rFonts w:cs="Arial"/>
          <w:lang w:eastAsia="de-DE"/>
        </w:rPr>
        <w:t>Was soll Tina tun?</w:t>
      </w:r>
    </w:p>
    <w:p w:rsidR="00660ABD" w:rsidRDefault="00660ABD" w:rsidP="000209E8">
      <w:pPr>
        <w:autoSpaceDE w:val="0"/>
        <w:autoSpaceDN w:val="0"/>
        <w:adjustRightInd w:val="0"/>
        <w:spacing w:line="240" w:lineRule="auto"/>
        <w:rPr>
          <w:rFonts w:cs="Arial"/>
          <w:lang w:eastAsia="de-DE"/>
        </w:rPr>
      </w:pPr>
    </w:p>
    <w:p w:rsidR="002C1C59" w:rsidRDefault="00C23DB6" w:rsidP="00001B57">
      <w:pPr>
        <w:autoSpaceDE w:val="0"/>
        <w:autoSpaceDN w:val="0"/>
        <w:adjustRightInd w:val="0"/>
        <w:spacing w:line="240" w:lineRule="auto"/>
        <w:rPr>
          <w:rFonts w:cs="Arial"/>
          <w:lang w:eastAsia="de-DE"/>
        </w:rPr>
      </w:pPr>
      <w:r>
        <w:rPr>
          <w:rFonts w:cs="Arial"/>
          <w:lang w:eastAsia="de-DE"/>
        </w:rPr>
        <w:t>(</w:t>
      </w:r>
      <w:r w:rsidR="00001A1A">
        <w:rPr>
          <w:rFonts w:cs="Arial"/>
          <w:lang w:eastAsia="de-DE"/>
        </w:rPr>
        <w:t xml:space="preserve">Der </w:t>
      </w:r>
      <w:r w:rsidR="00660ABD">
        <w:rPr>
          <w:rFonts w:cs="Arial"/>
          <w:lang w:eastAsia="de-DE"/>
        </w:rPr>
        <w:t xml:space="preserve">Autorentext </w:t>
      </w:r>
      <w:r w:rsidR="00001A1A">
        <w:rPr>
          <w:rFonts w:cs="Arial"/>
          <w:lang w:eastAsia="de-DE"/>
        </w:rPr>
        <w:t>stammt von Dr. Ilona Ruschmeier-Krause</w:t>
      </w:r>
      <w:r w:rsidR="00234F70">
        <w:rPr>
          <w:rFonts w:cs="Arial"/>
          <w:lang w:eastAsia="de-DE"/>
        </w:rPr>
        <w:t>, LISUM</w:t>
      </w:r>
      <w:r w:rsidR="00001A1A">
        <w:rPr>
          <w:rFonts w:cs="Arial"/>
          <w:lang w:eastAsia="de-DE"/>
        </w:rPr>
        <w:t>.</w:t>
      </w:r>
      <w:r>
        <w:rPr>
          <w:rFonts w:cs="Arial"/>
          <w:lang w:eastAsia="de-DE"/>
        </w:rPr>
        <w:t>)</w:t>
      </w:r>
    </w:p>
    <w:p w:rsidR="00001B57" w:rsidRDefault="00001B57" w:rsidP="00001B57">
      <w:pPr>
        <w:autoSpaceDE w:val="0"/>
        <w:autoSpaceDN w:val="0"/>
        <w:adjustRightInd w:val="0"/>
        <w:spacing w:line="240" w:lineRule="auto"/>
        <w:rPr>
          <w:rFonts w:cs="Arial"/>
          <w:lang w:eastAsia="de-DE"/>
        </w:rPr>
      </w:pPr>
    </w:p>
    <w:p w:rsidR="00FC24B7" w:rsidRPr="00FC24B7" w:rsidRDefault="00FC24B7" w:rsidP="00FC24B7">
      <w:pPr>
        <w:autoSpaceDE w:val="0"/>
        <w:autoSpaceDN w:val="0"/>
        <w:adjustRightInd w:val="0"/>
        <w:spacing w:line="240" w:lineRule="auto"/>
        <w:rPr>
          <w:b/>
          <w:sz w:val="24"/>
          <w:szCs w:val="24"/>
        </w:rPr>
      </w:pPr>
      <w:r w:rsidRPr="00FC24B7">
        <w:rPr>
          <w:b/>
          <w:sz w:val="24"/>
          <w:szCs w:val="24"/>
        </w:rPr>
        <w:t>Aufgaben:</w:t>
      </w:r>
    </w:p>
    <w:p w:rsidR="00FC24B7" w:rsidRPr="00FC24B7" w:rsidRDefault="00FC24B7" w:rsidP="00FC24B7">
      <w:pPr>
        <w:autoSpaceDE w:val="0"/>
        <w:autoSpaceDN w:val="0"/>
        <w:adjustRightInd w:val="0"/>
        <w:spacing w:line="240" w:lineRule="auto"/>
        <w:rPr>
          <w:rFonts w:cs="Arial"/>
        </w:rPr>
      </w:pPr>
      <w:r w:rsidRPr="00FC24B7">
        <w:rPr>
          <w:rFonts w:cs="Arial"/>
        </w:rPr>
        <w:t>Vorbemerkung: Natürlich sind die nachfolgenden Aufgaben auch mündlich denkbar. So könnte z. B. alternativ formuliert werden: „Bereite dich auf einen Vortrag zu deinem Ra</w:t>
      </w:r>
      <w:r w:rsidRPr="00FC24B7">
        <w:rPr>
          <w:rFonts w:cs="Arial"/>
        </w:rPr>
        <w:t>t</w:t>
      </w:r>
      <w:r w:rsidRPr="00FC24B7">
        <w:rPr>
          <w:rFonts w:cs="Arial"/>
        </w:rPr>
        <w:t>schlag bzw. deiner Antwort auf die Frage vor.“ Allerdings sollte die Lehrkraft auch bei den mündlichen Präsentationsformen schriftliche Notizen verlangen, um eine gewisse Komplex</w:t>
      </w:r>
      <w:r w:rsidRPr="00FC24B7">
        <w:rPr>
          <w:rFonts w:cs="Arial"/>
        </w:rPr>
        <w:t>i</w:t>
      </w:r>
      <w:r w:rsidRPr="00FC24B7">
        <w:rPr>
          <w:rFonts w:cs="Arial"/>
        </w:rPr>
        <w:t>tät und die Berücksichtigung vielfältiger Aspekte zu ermöglichen.</w:t>
      </w:r>
    </w:p>
    <w:p w:rsidR="00001B57" w:rsidRPr="00F74742" w:rsidRDefault="00001B57" w:rsidP="00001B57">
      <w:pPr>
        <w:autoSpaceDE w:val="0"/>
        <w:autoSpaceDN w:val="0"/>
        <w:adjustRightInd w:val="0"/>
        <w:spacing w:line="240" w:lineRule="auto"/>
        <w:rPr>
          <w:rFonts w:cs="Arial"/>
          <w:b/>
        </w:rPr>
      </w:pPr>
    </w:p>
    <w:p w:rsidR="00314E79" w:rsidRPr="0053176D" w:rsidRDefault="00301F1E" w:rsidP="000209E8">
      <w:pPr>
        <w:spacing w:before="60" w:after="60"/>
      </w:pPr>
      <w:r>
        <w:rPr>
          <w:b/>
          <w:sz w:val="24"/>
          <w:szCs w:val="24"/>
        </w:rPr>
        <w:t xml:space="preserve">Aufgabe </w:t>
      </w:r>
      <w:r w:rsidR="009D4E86">
        <w:rPr>
          <w:b/>
          <w:sz w:val="24"/>
          <w:szCs w:val="24"/>
        </w:rPr>
        <w:t xml:space="preserve">zu </w:t>
      </w:r>
      <w:r w:rsidR="00314E79" w:rsidRPr="00D863E6">
        <w:rPr>
          <w:b/>
          <w:sz w:val="24"/>
          <w:szCs w:val="24"/>
        </w:rPr>
        <w:t xml:space="preserve">M 1 </w:t>
      </w:r>
      <w:r w:rsidR="00314E79">
        <w:rPr>
          <w:b/>
          <w:sz w:val="24"/>
          <w:szCs w:val="24"/>
        </w:rPr>
        <w:t>(</w:t>
      </w:r>
      <w:r w:rsidR="00314E79" w:rsidRPr="00D863E6">
        <w:rPr>
          <w:b/>
          <w:sz w:val="24"/>
          <w:szCs w:val="24"/>
        </w:rPr>
        <w:t>Niveau</w:t>
      </w:r>
      <w:r w:rsidR="00314E79">
        <w:rPr>
          <w:b/>
          <w:sz w:val="24"/>
          <w:szCs w:val="24"/>
        </w:rPr>
        <w:t xml:space="preserve"> E)</w:t>
      </w:r>
      <w:r w:rsidR="00314E79" w:rsidRPr="00D863E6">
        <w:rPr>
          <w:b/>
          <w:sz w:val="24"/>
          <w:szCs w:val="24"/>
        </w:rPr>
        <w:t>:</w:t>
      </w:r>
      <w:r w:rsidR="00314E79">
        <w:rPr>
          <w:b/>
          <w:i/>
        </w:rPr>
        <w:br/>
      </w:r>
      <w:r w:rsidR="00314E79">
        <w:t>Kino oder Altenbesuch? Was soll ich tun?</w:t>
      </w:r>
    </w:p>
    <w:p w:rsidR="00314E79" w:rsidRDefault="00314E79" w:rsidP="000209E8">
      <w:pPr>
        <w:pStyle w:val="Listenabsatz"/>
        <w:numPr>
          <w:ilvl w:val="0"/>
          <w:numId w:val="32"/>
        </w:numPr>
      </w:pPr>
      <w:r>
        <w:t>Tina steht vor einer Entscheidung. Beschreibe die Situation, in der sie ihre Entscheidung treffen muss, kurz mit eigenen Worten.</w:t>
      </w:r>
    </w:p>
    <w:p w:rsidR="00314E79" w:rsidRDefault="00314E79" w:rsidP="000209E8">
      <w:pPr>
        <w:pStyle w:val="Listenabsatz"/>
        <w:numPr>
          <w:ilvl w:val="0"/>
          <w:numId w:val="32"/>
        </w:numPr>
      </w:pPr>
      <w:r>
        <w:t xml:space="preserve">Einmal angenommen, Tina ruft dich an und möchte von dir wissen, was sie tun soll. Was rätst du ihr? Berücksichtige </w:t>
      </w:r>
      <w:r w:rsidR="00301F1E">
        <w:t xml:space="preserve">bei deinem Rat auch einen alternativen Ratschlag. </w:t>
      </w:r>
      <w:r>
        <w:t xml:space="preserve">Erläutere </w:t>
      </w:r>
      <w:r w:rsidR="00301F1E">
        <w:t xml:space="preserve">diesen </w:t>
      </w:r>
      <w:r w:rsidR="00E9035A">
        <w:t>alternative</w:t>
      </w:r>
      <w:r w:rsidR="00301F1E">
        <w:t>n Ratschlag</w:t>
      </w:r>
      <w:r w:rsidR="00E9035A">
        <w:t xml:space="preserve"> </w:t>
      </w:r>
      <w:r>
        <w:t xml:space="preserve">und </w:t>
      </w:r>
      <w:r w:rsidR="00E9035A">
        <w:t>begründe, warum diese</w:t>
      </w:r>
      <w:r w:rsidR="00301F1E">
        <w:t>r</w:t>
      </w:r>
      <w:r w:rsidR="00E9035A">
        <w:t xml:space="preserve"> aus deiner Sicht nicht </w:t>
      </w:r>
      <w:r w:rsidR="00301F1E">
        <w:t>befolgt werden sollte</w:t>
      </w:r>
      <w:r>
        <w:t>.</w:t>
      </w:r>
    </w:p>
    <w:p w:rsidR="00234F70" w:rsidRDefault="00234F70" w:rsidP="00234F70"/>
    <w:p w:rsidR="00234F70" w:rsidRDefault="00234F70" w:rsidP="00234F70"/>
    <w:p w:rsidR="00234F70" w:rsidRDefault="00234F70" w:rsidP="00234F70"/>
    <w:p w:rsidR="00234F70" w:rsidRDefault="00234F70" w:rsidP="00234F70"/>
    <w:p w:rsidR="00234F70" w:rsidRDefault="00234F70" w:rsidP="00234F70"/>
    <w:p w:rsidR="00D863E6" w:rsidRDefault="00234F70" w:rsidP="00234F70">
      <w:r w:rsidRPr="00234F70">
        <w:rPr>
          <w:noProof/>
          <w:lang w:eastAsia="de-DE"/>
        </w:rPr>
        <w:drawing>
          <wp:inline distT="0" distB="0" distL="0" distR="0">
            <wp:extent cx="1223645" cy="436245"/>
            <wp:effectExtent l="0" t="0" r="0" b="0"/>
            <wp:docPr id="5"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C_by.png"/>
                    <pic:cNvPicPr>
                      <a:picLocks noChangeAspect="1" noChangeArrowheads="1"/>
                    </pic:cNvPicPr>
                  </pic:nvPicPr>
                  <pic:blipFill>
                    <a:blip r:embed="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3645" cy="436245"/>
                    </a:xfrm>
                    <a:prstGeom prst="rect">
                      <a:avLst/>
                    </a:prstGeom>
                    <a:noFill/>
                    <a:ln>
                      <a:noFill/>
                    </a:ln>
                  </pic:spPr>
                </pic:pic>
              </a:graphicData>
            </a:graphic>
          </wp:inline>
        </w:drawing>
      </w:r>
      <w:r>
        <w:t xml:space="preserve"> LISUM</w:t>
      </w:r>
      <w:r w:rsidR="00D863E6">
        <w:br w:type="page"/>
      </w:r>
    </w:p>
    <w:p w:rsidR="00001B57" w:rsidRDefault="00001B57" w:rsidP="000209E8">
      <w:pPr>
        <w:spacing w:line="240" w:lineRule="auto"/>
      </w:pPr>
    </w:p>
    <w:p w:rsidR="00F5187C" w:rsidRPr="00D863E6" w:rsidRDefault="00F5187C" w:rsidP="000209E8">
      <w:pPr>
        <w:spacing w:line="240" w:lineRule="auto"/>
        <w:rPr>
          <w:b/>
          <w:sz w:val="24"/>
          <w:szCs w:val="24"/>
        </w:rPr>
      </w:pPr>
      <w:bookmarkStart w:id="0" w:name="_GoBack"/>
      <w:bookmarkEnd w:id="0"/>
      <w:r w:rsidRPr="00D863E6">
        <w:rPr>
          <w:b/>
          <w:sz w:val="24"/>
          <w:szCs w:val="24"/>
        </w:rPr>
        <w:t>Erwartungshorizont:</w:t>
      </w:r>
    </w:p>
    <w:p w:rsidR="00C16860" w:rsidRDefault="00C16860" w:rsidP="000209E8">
      <w:pPr>
        <w:spacing w:before="60" w:after="60"/>
        <w:rPr>
          <w:b/>
          <w:sz w:val="24"/>
          <w:szCs w:val="24"/>
        </w:rPr>
      </w:pPr>
    </w:p>
    <w:p w:rsidR="006076F2" w:rsidRPr="006076F2" w:rsidRDefault="006076F2" w:rsidP="000209E8">
      <w:pPr>
        <w:spacing w:before="60" w:after="60"/>
        <w:rPr>
          <w:sz w:val="24"/>
          <w:szCs w:val="24"/>
        </w:rPr>
      </w:pPr>
      <w:r>
        <w:rPr>
          <w:b/>
          <w:sz w:val="24"/>
          <w:szCs w:val="24"/>
        </w:rPr>
        <w:t xml:space="preserve">Vorbemerkung: </w:t>
      </w:r>
      <w:r>
        <w:rPr>
          <w:sz w:val="24"/>
          <w:szCs w:val="24"/>
        </w:rPr>
        <w:t>Die folgenden Ausführungen sind exemplarisch zu verstehen und können von den Lernenden jeweils anders realisiert werden. Es wird zudem keinerlei Anspruch auf Vollständigkeit der Argumentation erhoben. Insbesondere ist von der Lehrkraft zu berücksichtigen, dass nicht die dem jeweiligen Urteil zugrunde</w:t>
      </w:r>
      <w:r w:rsidR="00001A1A">
        <w:rPr>
          <w:sz w:val="24"/>
          <w:szCs w:val="24"/>
        </w:rPr>
        <w:t xml:space="preserve"> </w:t>
      </w:r>
      <w:r>
        <w:rPr>
          <w:sz w:val="24"/>
          <w:szCs w:val="24"/>
        </w:rPr>
        <w:t xml:space="preserve">liegende Behauptung, sondern die Differenziertheit und Überzeugungskraft der Argumentation zu bewerten ist. </w:t>
      </w:r>
    </w:p>
    <w:p w:rsidR="006076F2" w:rsidRPr="00D863E6" w:rsidRDefault="006076F2" w:rsidP="000209E8">
      <w:pPr>
        <w:spacing w:before="60" w:after="60"/>
        <w:rPr>
          <w:b/>
          <w:sz w:val="24"/>
          <w:szCs w:val="24"/>
        </w:rPr>
      </w:pPr>
    </w:p>
    <w:p w:rsidR="00772568" w:rsidRPr="00D863E6" w:rsidRDefault="00E04327" w:rsidP="00001A1A">
      <w:pPr>
        <w:spacing w:line="240" w:lineRule="auto"/>
        <w:rPr>
          <w:b/>
          <w:sz w:val="24"/>
          <w:szCs w:val="24"/>
        </w:rPr>
      </w:pPr>
      <w:r>
        <w:rPr>
          <w:b/>
          <w:sz w:val="24"/>
          <w:szCs w:val="24"/>
        </w:rPr>
        <w:t xml:space="preserve">Aufgabe </w:t>
      </w:r>
      <w:r w:rsidR="009D4E86">
        <w:rPr>
          <w:b/>
          <w:sz w:val="24"/>
          <w:szCs w:val="24"/>
        </w:rPr>
        <w:t>zu M 1 (Niveau E)</w:t>
      </w:r>
      <w:r w:rsidR="00772568" w:rsidRPr="00D863E6">
        <w:rPr>
          <w:b/>
          <w:sz w:val="24"/>
          <w:szCs w:val="24"/>
        </w:rPr>
        <w:t>:</w:t>
      </w:r>
      <w:r w:rsidR="00D863E6">
        <w:rPr>
          <w:b/>
          <w:sz w:val="24"/>
          <w:szCs w:val="24"/>
        </w:rPr>
        <w:br/>
      </w:r>
    </w:p>
    <w:p w:rsidR="00236DB9" w:rsidRDefault="00E04327" w:rsidP="00001A1A">
      <w:pPr>
        <w:pStyle w:val="Listenabsatz"/>
        <w:numPr>
          <w:ilvl w:val="0"/>
          <w:numId w:val="26"/>
        </w:numPr>
        <w:spacing w:line="240" w:lineRule="auto"/>
      </w:pPr>
      <w:r>
        <w:t>Tina muss sich zwischen zwei Alternativen entscheiden: Soll sie mit Mira ins Kino gehen? Da sie Mira bereits sehr schätzt, hofft sie auch, dass sich aus dem gemei</w:t>
      </w:r>
      <w:r>
        <w:t>n</w:t>
      </w:r>
      <w:r>
        <w:t>samen Kinoerlebnis eine Freundschaft entwickeln könnte. Oder soll sie, wie jeden Mittwochabend, zu Herrn Hama gehen und mit ihm Zeit verbringen? Diese Zeit ist für Herrn Hama besonders wertvoll, da er sonst keinen privaten Besuch erhält.</w:t>
      </w:r>
    </w:p>
    <w:p w:rsidR="009D4E86" w:rsidRDefault="009D4E86" w:rsidP="00001A1A">
      <w:pPr>
        <w:pStyle w:val="Listenabsatz"/>
        <w:spacing w:line="240" w:lineRule="auto"/>
        <w:ind w:left="720"/>
      </w:pPr>
    </w:p>
    <w:p w:rsidR="009D4E86" w:rsidRDefault="00E04327" w:rsidP="00001A1A">
      <w:pPr>
        <w:pStyle w:val="Listenabsatz"/>
        <w:numPr>
          <w:ilvl w:val="0"/>
          <w:numId w:val="26"/>
        </w:numPr>
        <w:spacing w:line="240" w:lineRule="auto"/>
      </w:pPr>
      <w:r>
        <w:t xml:space="preserve">- </w:t>
      </w:r>
      <w:r w:rsidR="000F11B4">
        <w:t xml:space="preserve">Tina sollte sich für den Kinobesuch entscheiden. </w:t>
      </w:r>
    </w:p>
    <w:p w:rsidR="009D4E86" w:rsidRDefault="00A46016" w:rsidP="00001A1A">
      <w:pPr>
        <w:spacing w:line="240" w:lineRule="auto"/>
        <w:ind w:left="708"/>
      </w:pPr>
      <w:r>
        <w:t xml:space="preserve">Mögliche </w:t>
      </w:r>
      <w:r w:rsidR="00E04327">
        <w:t xml:space="preserve">Begründung: </w:t>
      </w:r>
      <w:r w:rsidR="000F11B4">
        <w:t>Sie</w:t>
      </w:r>
      <w:r w:rsidR="004A01D2">
        <w:t xml:space="preserve"> </w:t>
      </w:r>
      <w:r w:rsidR="00E04327">
        <w:t>wünsch</w:t>
      </w:r>
      <w:r w:rsidR="004A01D2">
        <w:t xml:space="preserve">t </w:t>
      </w:r>
      <w:r w:rsidR="000F11B4">
        <w:t>sich</w:t>
      </w:r>
      <w:r w:rsidR="00E04327">
        <w:t xml:space="preserve"> sehr, mit Mira befreundet zu sein. Da Mira sehr begehrt ist, erhält </w:t>
      </w:r>
      <w:r w:rsidR="000F11B4">
        <w:t>sie</w:t>
      </w:r>
      <w:r w:rsidR="00E04327">
        <w:t xml:space="preserve"> vielleicht nicht so schnell wieder die Chance, mit ihr Zeit zu verbringen. </w:t>
      </w:r>
      <w:r w:rsidR="004A01D2">
        <w:t xml:space="preserve">Zudem gibt </w:t>
      </w:r>
      <w:r w:rsidR="000F11B4">
        <w:t>ihr</w:t>
      </w:r>
      <w:r w:rsidR="004A01D2">
        <w:t xml:space="preserve"> der gemeinsame Kinobesuch auch die Möglichkeit, Mira besser kennenzulernen. Vielleicht ist sie ja gar nicht so toll, wie </w:t>
      </w:r>
      <w:r w:rsidR="000F11B4">
        <w:t xml:space="preserve">Tina und ihre </w:t>
      </w:r>
      <w:r w:rsidR="004A01D2">
        <w:t>Kla</w:t>
      </w:r>
      <w:r w:rsidR="004A01D2">
        <w:t>s</w:t>
      </w:r>
      <w:r w:rsidR="004A01D2">
        <w:t>senkameraden denken. Um Herrn Hama nicht zu verletzten, soll</w:t>
      </w:r>
      <w:r w:rsidR="000F11B4">
        <w:t>te sie</w:t>
      </w:r>
      <w:r w:rsidR="004A01D2">
        <w:t xml:space="preserve"> gleich nach </w:t>
      </w:r>
      <w:r w:rsidR="008D44CB">
        <w:t>i</w:t>
      </w:r>
      <w:r w:rsidR="008D44CB">
        <w:t>h</w:t>
      </w:r>
      <w:r w:rsidR="008D44CB">
        <w:t xml:space="preserve">rer </w:t>
      </w:r>
      <w:r w:rsidR="00E04327">
        <w:t xml:space="preserve">Zusage zu </w:t>
      </w:r>
      <w:r w:rsidR="004A01D2">
        <w:t xml:space="preserve">ihm gehen, ihm von der Situation berichten und ihm versprechen, am nächsten Abend zu ihm zu kommen. Herr Hama wird sicher Verständnis für </w:t>
      </w:r>
      <w:r w:rsidR="000F11B4">
        <w:t xml:space="preserve">Tina </w:t>
      </w:r>
      <w:r w:rsidR="004A01D2">
        <w:t>h</w:t>
      </w:r>
      <w:r w:rsidR="004A01D2">
        <w:t>a</w:t>
      </w:r>
      <w:r w:rsidR="009D4E86">
        <w:t>ben.</w:t>
      </w:r>
      <w:r w:rsidR="009D4E86">
        <w:tab/>
      </w:r>
    </w:p>
    <w:p w:rsidR="009D4E86" w:rsidRDefault="000F11B4" w:rsidP="00001A1A">
      <w:pPr>
        <w:pStyle w:val="Listenabsatz"/>
        <w:numPr>
          <w:ilvl w:val="0"/>
          <w:numId w:val="39"/>
        </w:numPr>
        <w:spacing w:line="240" w:lineRule="auto"/>
      </w:pPr>
      <w:r>
        <w:t xml:space="preserve">Tina sollte ihre </w:t>
      </w:r>
      <w:r w:rsidR="009C3682">
        <w:t>Entscheidung von einem Gespräch mit Herrn Hama abhängig</w:t>
      </w:r>
      <w:r>
        <w:t xml:space="preserve"> m</w:t>
      </w:r>
      <w:r>
        <w:t>a</w:t>
      </w:r>
      <w:r>
        <w:t>chen</w:t>
      </w:r>
      <w:r w:rsidR="004A01D2">
        <w:t xml:space="preserve">. </w:t>
      </w:r>
    </w:p>
    <w:p w:rsidR="009D4E86" w:rsidRDefault="00A46016" w:rsidP="00001A1A">
      <w:pPr>
        <w:spacing w:line="240" w:lineRule="auto"/>
        <w:ind w:left="720"/>
      </w:pPr>
      <w:r>
        <w:t xml:space="preserve">Mögliche </w:t>
      </w:r>
      <w:r w:rsidR="004A01D2">
        <w:t xml:space="preserve">Begründung: Herr Hama wird sich, wie jede Woche, seit Tagen auf </w:t>
      </w:r>
      <w:r w:rsidR="000F11B4">
        <w:t xml:space="preserve">ihren </w:t>
      </w:r>
      <w:r w:rsidR="004A01D2">
        <w:t xml:space="preserve">Besuch freuen. Wenn </w:t>
      </w:r>
      <w:r w:rsidR="000F11B4">
        <w:t>sie nicht komm</w:t>
      </w:r>
      <w:r w:rsidR="004A01D2">
        <w:t>t, ist er wieder einen Abend allein. Mira dag</w:t>
      </w:r>
      <w:r w:rsidR="004A01D2">
        <w:t>e</w:t>
      </w:r>
      <w:r w:rsidR="004A01D2">
        <w:t xml:space="preserve">gen findet problemlos jemand anderen, mit dem sie ins Kino gehen kann. </w:t>
      </w:r>
      <w:r w:rsidR="000F11B4">
        <w:t xml:space="preserve">Tina sollte </w:t>
      </w:r>
      <w:r w:rsidR="004A01D2">
        <w:t>daher zu Mira</w:t>
      </w:r>
      <w:r w:rsidR="000F11B4">
        <w:t xml:space="preserve"> am Telefon sagen</w:t>
      </w:r>
      <w:r w:rsidR="004A01D2">
        <w:t xml:space="preserve">, </w:t>
      </w:r>
      <w:r w:rsidR="000F11B4">
        <w:t>sie</w:t>
      </w:r>
      <w:r w:rsidR="004A01D2">
        <w:t xml:space="preserve"> wür</w:t>
      </w:r>
      <w:r w:rsidR="000F11B4">
        <w:t>de</w:t>
      </w:r>
      <w:r w:rsidR="004A01D2">
        <w:t xml:space="preserve"> sie in einer halben Stunde zurückrufen. </w:t>
      </w:r>
      <w:r w:rsidR="000F11B4">
        <w:t xml:space="preserve">Tina sollte </w:t>
      </w:r>
      <w:r w:rsidR="004A01D2">
        <w:t>dann zu Herrn Hama</w:t>
      </w:r>
      <w:r w:rsidR="000F11B4">
        <w:t xml:space="preserve"> gehen</w:t>
      </w:r>
      <w:r w:rsidR="004A01D2">
        <w:t xml:space="preserve">, ihm von der Situation </w:t>
      </w:r>
      <w:r w:rsidR="000F11B4">
        <w:t xml:space="preserve">erzählen </w:t>
      </w:r>
      <w:r w:rsidR="004A01D2">
        <w:t>und ihn</w:t>
      </w:r>
      <w:r w:rsidR="000F11B4">
        <w:t xml:space="preserve"> fr</w:t>
      </w:r>
      <w:r w:rsidR="000F11B4">
        <w:t>a</w:t>
      </w:r>
      <w:r w:rsidR="000F11B4">
        <w:t>gen</w:t>
      </w:r>
      <w:r w:rsidR="004A01D2">
        <w:t>, ob er einverstanden wä</w:t>
      </w:r>
      <w:r w:rsidR="000F11B4">
        <w:t>re, ihre</w:t>
      </w:r>
      <w:r w:rsidR="004A01D2">
        <w:t xml:space="preserve"> Verabredung auf den nächsten Abend zu ve</w:t>
      </w:r>
      <w:r w:rsidR="004A01D2">
        <w:t>r</w:t>
      </w:r>
      <w:r w:rsidR="004A01D2">
        <w:t xml:space="preserve">schieben. </w:t>
      </w:r>
      <w:r w:rsidR="009C3682">
        <w:t xml:space="preserve">So </w:t>
      </w:r>
      <w:r w:rsidR="000F11B4">
        <w:t xml:space="preserve">würde Tina </w:t>
      </w:r>
      <w:r w:rsidR="009C3682">
        <w:t>nicht über seinen Kopf hinweg</w:t>
      </w:r>
      <w:r w:rsidR="000F11B4">
        <w:t xml:space="preserve"> entscheiden</w:t>
      </w:r>
      <w:r w:rsidR="009C3682">
        <w:t xml:space="preserve">, sondern </w:t>
      </w:r>
      <w:r w:rsidR="000F11B4">
        <w:t xml:space="preserve">ihn </w:t>
      </w:r>
      <w:r w:rsidR="009C3682">
        <w:t>an der Entscheidung</w:t>
      </w:r>
      <w:r w:rsidR="000F11B4">
        <w:t xml:space="preserve"> beteiligen</w:t>
      </w:r>
      <w:r w:rsidR="009C3682">
        <w:t xml:space="preserve">, die ihn ja sehr betrifft. </w:t>
      </w:r>
      <w:r w:rsidR="000F11B4">
        <w:t xml:space="preserve">Anschließend sollte Tina </w:t>
      </w:r>
      <w:r w:rsidR="004A01D2">
        <w:t>Mira seine Entschei</w:t>
      </w:r>
      <w:r w:rsidR="000F11B4">
        <w:t xml:space="preserve">dung </w:t>
      </w:r>
      <w:r w:rsidR="004A01D2">
        <w:t>und da</w:t>
      </w:r>
      <w:r w:rsidR="000F11B4">
        <w:t>mit ihr</w:t>
      </w:r>
      <w:r w:rsidR="004A01D2">
        <w:t>e Entscheidung mit</w:t>
      </w:r>
      <w:r w:rsidR="000F11B4">
        <w:t>teilen</w:t>
      </w:r>
      <w:r w:rsidR="004A01D2">
        <w:t xml:space="preserve">. </w:t>
      </w:r>
      <w:r w:rsidR="000F11B4">
        <w:t>Falls Mira</w:t>
      </w:r>
      <w:r w:rsidR="004A01D2">
        <w:t xml:space="preserve"> wirklich so toll ist, wie alle glauben, wird sie</w:t>
      </w:r>
      <w:r>
        <w:t xml:space="preserve"> </w:t>
      </w:r>
      <w:r w:rsidR="004A01D2">
        <w:t>Ver</w:t>
      </w:r>
      <w:r>
        <w:t>ständnis für eine eventuelle Absage</w:t>
      </w:r>
      <w:r w:rsidR="004A01D2">
        <w:t xml:space="preserve"> ha</w:t>
      </w:r>
      <w:r>
        <w:t>ben und sich mit Tina</w:t>
      </w:r>
      <w:r w:rsidR="004A01D2">
        <w:t xml:space="preserve"> an einem anderen Tag tref</w:t>
      </w:r>
      <w:r>
        <w:t>fen.</w:t>
      </w:r>
    </w:p>
    <w:p w:rsidR="009D4E86" w:rsidRDefault="009D4E86" w:rsidP="00001A1A">
      <w:pPr>
        <w:pStyle w:val="Listenabsatz"/>
        <w:numPr>
          <w:ilvl w:val="0"/>
          <w:numId w:val="39"/>
        </w:numPr>
        <w:spacing w:line="240" w:lineRule="auto"/>
      </w:pPr>
      <w:r>
        <w:t>T</w:t>
      </w:r>
      <w:r w:rsidR="00A46016">
        <w:t xml:space="preserve">ina sollte sich </w:t>
      </w:r>
      <w:r w:rsidR="004A01D2">
        <w:t>für den Besuch bei Herrn Hama</w:t>
      </w:r>
      <w:r w:rsidR="00A46016">
        <w:t xml:space="preserve"> entscheiden. </w:t>
      </w:r>
    </w:p>
    <w:p w:rsidR="00B60793" w:rsidRDefault="00A46016" w:rsidP="00001A1A">
      <w:pPr>
        <w:pStyle w:val="Listenabsatz"/>
        <w:spacing w:line="240" w:lineRule="auto"/>
        <w:ind w:left="720"/>
      </w:pPr>
      <w:r>
        <w:t xml:space="preserve">Mögliche </w:t>
      </w:r>
      <w:r w:rsidR="004A01D2">
        <w:t>Begründung: Herr Hama freut sich seit Ta</w:t>
      </w:r>
      <w:r>
        <w:t>gen auf Tinas</w:t>
      </w:r>
      <w:r w:rsidR="004A01D2">
        <w:t xml:space="preserve"> Besuch. </w:t>
      </w:r>
      <w:r>
        <w:t>Wenn sie</w:t>
      </w:r>
      <w:r w:rsidR="004A01D2">
        <w:t xml:space="preserve"> ihm kurz vorher ab</w:t>
      </w:r>
      <w:r>
        <w:t>sag</w:t>
      </w:r>
      <w:r w:rsidR="004A01D2">
        <w:t>t, wird er sehr enttäuscht sein. Vie</w:t>
      </w:r>
      <w:r>
        <w:t>lleicht wird er sogar denken, sie hätte</w:t>
      </w:r>
      <w:r w:rsidR="004A01D2">
        <w:t xml:space="preserve"> kein Interesse mehr</w:t>
      </w:r>
      <w:r>
        <w:t>,</w:t>
      </w:r>
      <w:r w:rsidR="004A01D2">
        <w:t xml:space="preserve"> ihn zu besuchen. </w:t>
      </w:r>
      <w:r>
        <w:t>Dies wird ihn sehr traurig machen, da Tina</w:t>
      </w:r>
      <w:r w:rsidR="004A01D2">
        <w:t xml:space="preserve"> sein einziger Kontakt zur Außenw</w:t>
      </w:r>
      <w:r>
        <w:t xml:space="preserve">elt </w:t>
      </w:r>
      <w:r w:rsidR="004A01D2">
        <w:t xml:space="preserve">ist. </w:t>
      </w:r>
      <w:r>
        <w:t>Ihr Besuch bei ihm ist für ihn</w:t>
      </w:r>
      <w:r w:rsidR="004A01D2">
        <w:t xml:space="preserve"> viel wer</w:t>
      </w:r>
      <w:r w:rsidR="004A01D2">
        <w:t>t</w:t>
      </w:r>
      <w:r w:rsidR="004A01D2">
        <w:t>voller als für Mi</w:t>
      </w:r>
      <w:r>
        <w:t>ra ihre</w:t>
      </w:r>
      <w:r w:rsidR="004A01D2">
        <w:t xml:space="preserve"> Begleitung ins Kino</w:t>
      </w:r>
      <w:r w:rsidR="00301F1E">
        <w:t>.</w:t>
      </w:r>
    </w:p>
    <w:p w:rsidR="00FC24B7" w:rsidRDefault="009D4E86" w:rsidP="00001A1A">
      <w:pPr>
        <w:pStyle w:val="Listenabsatz"/>
        <w:numPr>
          <w:ilvl w:val="0"/>
          <w:numId w:val="39"/>
        </w:numPr>
        <w:spacing w:line="240" w:lineRule="auto"/>
      </w:pPr>
      <w:r>
        <w:t xml:space="preserve">Möglicher Einwand gegen den Ratschlag, Tina </w:t>
      </w:r>
      <w:r w:rsidR="00FC24B7">
        <w:t>solle auf jeden Fall Herrn Hama be</w:t>
      </w:r>
      <w:r>
        <w:t>suchen: Zwar hat sich Herr Hama inzwischen an Tinas Mittwochabendbesuche gewöhnt, aber da für ihn jeder Abend gleich ist, macht es für ihn keinen großen Unterschied, wenn sie einmal an einem Donnerstagabend kommt. Anders ist das bei Mira. Da diese sehr begehrt ist, wird Tina vielleicht keine zweite Chance auf ein näheres Kennenlernen und eine eventuell sich entwickelnde Freundschaft e</w:t>
      </w:r>
      <w:r>
        <w:t>r</w:t>
      </w:r>
      <w:r>
        <w:t>hal</w:t>
      </w:r>
      <w:r w:rsidR="00FC24B7">
        <w:t>ten.</w:t>
      </w:r>
    </w:p>
    <w:p w:rsidR="009D4E86" w:rsidRDefault="00FC24B7" w:rsidP="00FC24B7">
      <w:pPr>
        <w:pStyle w:val="Listenabsatz"/>
        <w:numPr>
          <w:ilvl w:val="0"/>
          <w:numId w:val="39"/>
        </w:numPr>
        <w:spacing w:line="240" w:lineRule="auto"/>
      </w:pPr>
      <w:r>
        <w:lastRenderedPageBreak/>
        <w:t>M</w:t>
      </w:r>
      <w:r w:rsidR="009D4E86">
        <w:t>öglicher Einwand gegen den Ratschlag, Tina solle auf jeden Fall mit Mira ins Kino gehen: Herr Hama hat niemanden außer Tina. Sie ist für ihn sein einziger Kontakt zur Außenwelt. Entsprechend wichtig sind ihm ihre Besuche. Mira dag</w:t>
      </w:r>
      <w:r w:rsidR="009D4E86">
        <w:t>e</w:t>
      </w:r>
      <w:r w:rsidR="009D4E86">
        <w:t>gen ist sehr beliebt und wird daher problemlos jemand anderen finden, mit dem sie den Abend verbringen kann. Herrn Hama ist das aber nicht möglich, er findet für Tina keinen Ersatz. Zudem sollte man Verabredungen auch dann einhalten, wenn man eine verlockendere Alternative angeboten bekommt. Ansonsten könnte sich niemand mehr auf andere verlassen und wir müssten immer fürchten, dass die Verabredungen mit uns nicht eingehalten werden.</w:t>
      </w:r>
    </w:p>
    <w:p w:rsidR="009D4E86" w:rsidRDefault="009D4E86" w:rsidP="009D4E86">
      <w:pPr>
        <w:pStyle w:val="Listenabsatz"/>
        <w:spacing w:line="240" w:lineRule="auto"/>
        <w:ind w:left="720"/>
      </w:pPr>
    </w:p>
    <w:p w:rsidR="00234F70" w:rsidRDefault="00234F70" w:rsidP="009D4E86">
      <w:pPr>
        <w:pStyle w:val="Listenabsatz"/>
        <w:spacing w:line="240" w:lineRule="auto"/>
        <w:ind w:left="720"/>
      </w:pPr>
    </w:p>
    <w:p w:rsidR="00234F70" w:rsidRDefault="00234F70" w:rsidP="009D4E86">
      <w:pPr>
        <w:pStyle w:val="Listenabsatz"/>
        <w:spacing w:line="240" w:lineRule="auto"/>
        <w:ind w:left="720"/>
      </w:pPr>
    </w:p>
    <w:p w:rsidR="00234F70" w:rsidRDefault="00234F70" w:rsidP="009D4E86">
      <w:pPr>
        <w:pStyle w:val="Listenabsatz"/>
        <w:spacing w:line="240" w:lineRule="auto"/>
        <w:ind w:left="720"/>
      </w:pPr>
    </w:p>
    <w:p w:rsidR="00234F70" w:rsidRDefault="00234F70" w:rsidP="009D4E86">
      <w:pPr>
        <w:pStyle w:val="Listenabsatz"/>
        <w:spacing w:line="240" w:lineRule="auto"/>
        <w:ind w:left="720"/>
      </w:pPr>
    </w:p>
    <w:p w:rsidR="00234F70" w:rsidRDefault="00234F70" w:rsidP="009D4E86">
      <w:pPr>
        <w:pStyle w:val="Listenabsatz"/>
        <w:spacing w:line="240" w:lineRule="auto"/>
        <w:ind w:left="720"/>
      </w:pPr>
    </w:p>
    <w:p w:rsidR="00234F70" w:rsidRDefault="00234F70" w:rsidP="009D4E86">
      <w:pPr>
        <w:pStyle w:val="Listenabsatz"/>
        <w:spacing w:line="240" w:lineRule="auto"/>
        <w:ind w:left="720"/>
      </w:pPr>
    </w:p>
    <w:p w:rsidR="00234F70" w:rsidRDefault="00234F70" w:rsidP="009D4E86">
      <w:pPr>
        <w:pStyle w:val="Listenabsatz"/>
        <w:spacing w:line="240" w:lineRule="auto"/>
        <w:ind w:left="720"/>
      </w:pPr>
    </w:p>
    <w:p w:rsidR="00234F70" w:rsidRDefault="00234F70" w:rsidP="009D4E86">
      <w:pPr>
        <w:pStyle w:val="Listenabsatz"/>
        <w:spacing w:line="240" w:lineRule="auto"/>
        <w:ind w:left="720"/>
      </w:pPr>
    </w:p>
    <w:p w:rsidR="00234F70" w:rsidRDefault="00234F70" w:rsidP="009D4E86">
      <w:pPr>
        <w:pStyle w:val="Listenabsatz"/>
        <w:spacing w:line="240" w:lineRule="auto"/>
        <w:ind w:left="720"/>
      </w:pPr>
    </w:p>
    <w:p w:rsidR="00234F70" w:rsidRDefault="00234F70" w:rsidP="009D4E86">
      <w:pPr>
        <w:pStyle w:val="Listenabsatz"/>
        <w:spacing w:line="240" w:lineRule="auto"/>
        <w:ind w:left="720"/>
      </w:pPr>
    </w:p>
    <w:p w:rsidR="00234F70" w:rsidRDefault="00234F70" w:rsidP="009D4E86">
      <w:pPr>
        <w:pStyle w:val="Listenabsatz"/>
        <w:spacing w:line="240" w:lineRule="auto"/>
        <w:ind w:left="720"/>
      </w:pPr>
    </w:p>
    <w:p w:rsidR="00234F70" w:rsidRDefault="00234F70" w:rsidP="009D4E86">
      <w:pPr>
        <w:pStyle w:val="Listenabsatz"/>
        <w:spacing w:line="240" w:lineRule="auto"/>
        <w:ind w:left="720"/>
      </w:pPr>
    </w:p>
    <w:p w:rsidR="00234F70" w:rsidRDefault="00234F70" w:rsidP="009D4E86">
      <w:pPr>
        <w:pStyle w:val="Listenabsatz"/>
        <w:spacing w:line="240" w:lineRule="auto"/>
        <w:ind w:left="720"/>
      </w:pPr>
    </w:p>
    <w:p w:rsidR="00234F70" w:rsidRDefault="00234F70" w:rsidP="009D4E86">
      <w:pPr>
        <w:pStyle w:val="Listenabsatz"/>
        <w:spacing w:line="240" w:lineRule="auto"/>
        <w:ind w:left="720"/>
      </w:pPr>
    </w:p>
    <w:p w:rsidR="00234F70" w:rsidRDefault="00234F70" w:rsidP="009D4E86">
      <w:pPr>
        <w:pStyle w:val="Listenabsatz"/>
        <w:spacing w:line="240" w:lineRule="auto"/>
        <w:ind w:left="720"/>
      </w:pPr>
    </w:p>
    <w:p w:rsidR="00234F70" w:rsidRDefault="00234F70" w:rsidP="009D4E86">
      <w:pPr>
        <w:pStyle w:val="Listenabsatz"/>
        <w:spacing w:line="240" w:lineRule="auto"/>
        <w:ind w:left="720"/>
      </w:pPr>
    </w:p>
    <w:p w:rsidR="00234F70" w:rsidRDefault="00234F70" w:rsidP="009D4E86">
      <w:pPr>
        <w:pStyle w:val="Listenabsatz"/>
        <w:spacing w:line="240" w:lineRule="auto"/>
        <w:ind w:left="720"/>
      </w:pPr>
    </w:p>
    <w:p w:rsidR="00234F70" w:rsidRDefault="00234F70" w:rsidP="009D4E86">
      <w:pPr>
        <w:pStyle w:val="Listenabsatz"/>
        <w:spacing w:line="240" w:lineRule="auto"/>
        <w:ind w:left="720"/>
      </w:pPr>
    </w:p>
    <w:p w:rsidR="00234F70" w:rsidRDefault="00234F70" w:rsidP="009D4E86">
      <w:pPr>
        <w:pStyle w:val="Listenabsatz"/>
        <w:spacing w:line="240" w:lineRule="auto"/>
        <w:ind w:left="720"/>
      </w:pPr>
    </w:p>
    <w:p w:rsidR="00234F70" w:rsidRDefault="00234F70" w:rsidP="009D4E86">
      <w:pPr>
        <w:pStyle w:val="Listenabsatz"/>
        <w:spacing w:line="240" w:lineRule="auto"/>
        <w:ind w:left="720"/>
      </w:pPr>
    </w:p>
    <w:p w:rsidR="00234F70" w:rsidRDefault="00234F70" w:rsidP="009D4E86">
      <w:pPr>
        <w:pStyle w:val="Listenabsatz"/>
        <w:spacing w:line="240" w:lineRule="auto"/>
        <w:ind w:left="720"/>
      </w:pPr>
    </w:p>
    <w:p w:rsidR="00234F70" w:rsidRDefault="00234F70" w:rsidP="009D4E86">
      <w:pPr>
        <w:pStyle w:val="Listenabsatz"/>
        <w:spacing w:line="240" w:lineRule="auto"/>
        <w:ind w:left="720"/>
      </w:pPr>
    </w:p>
    <w:p w:rsidR="00234F70" w:rsidRDefault="00234F70" w:rsidP="009D4E86">
      <w:pPr>
        <w:pStyle w:val="Listenabsatz"/>
        <w:spacing w:line="240" w:lineRule="auto"/>
        <w:ind w:left="720"/>
      </w:pPr>
    </w:p>
    <w:p w:rsidR="00234F70" w:rsidRDefault="00234F70" w:rsidP="009D4E86">
      <w:pPr>
        <w:pStyle w:val="Listenabsatz"/>
        <w:spacing w:line="240" w:lineRule="auto"/>
        <w:ind w:left="720"/>
      </w:pPr>
    </w:p>
    <w:p w:rsidR="00234F70" w:rsidRDefault="00234F70" w:rsidP="009D4E86">
      <w:pPr>
        <w:pStyle w:val="Listenabsatz"/>
        <w:spacing w:line="240" w:lineRule="auto"/>
        <w:ind w:left="720"/>
      </w:pPr>
    </w:p>
    <w:p w:rsidR="00234F70" w:rsidRDefault="00234F70" w:rsidP="009D4E86">
      <w:pPr>
        <w:pStyle w:val="Listenabsatz"/>
        <w:spacing w:line="240" w:lineRule="auto"/>
        <w:ind w:left="720"/>
      </w:pPr>
    </w:p>
    <w:p w:rsidR="00234F70" w:rsidRDefault="00234F70" w:rsidP="009D4E86">
      <w:pPr>
        <w:pStyle w:val="Listenabsatz"/>
        <w:spacing w:line="240" w:lineRule="auto"/>
        <w:ind w:left="720"/>
      </w:pPr>
    </w:p>
    <w:p w:rsidR="00234F70" w:rsidRDefault="00234F70" w:rsidP="009D4E86">
      <w:pPr>
        <w:pStyle w:val="Listenabsatz"/>
        <w:spacing w:line="240" w:lineRule="auto"/>
        <w:ind w:left="720"/>
      </w:pPr>
    </w:p>
    <w:p w:rsidR="00234F70" w:rsidRDefault="00234F70" w:rsidP="009D4E86">
      <w:pPr>
        <w:pStyle w:val="Listenabsatz"/>
        <w:spacing w:line="240" w:lineRule="auto"/>
        <w:ind w:left="720"/>
      </w:pPr>
    </w:p>
    <w:p w:rsidR="00234F70" w:rsidRDefault="00234F70" w:rsidP="009D4E86">
      <w:pPr>
        <w:pStyle w:val="Listenabsatz"/>
        <w:spacing w:line="240" w:lineRule="auto"/>
        <w:ind w:left="720"/>
      </w:pPr>
    </w:p>
    <w:p w:rsidR="00234F70" w:rsidRDefault="00234F70" w:rsidP="009D4E86">
      <w:pPr>
        <w:pStyle w:val="Listenabsatz"/>
        <w:spacing w:line="240" w:lineRule="auto"/>
        <w:ind w:left="720"/>
      </w:pPr>
    </w:p>
    <w:p w:rsidR="00234F70" w:rsidRDefault="00234F70" w:rsidP="009D4E86">
      <w:pPr>
        <w:pStyle w:val="Listenabsatz"/>
        <w:spacing w:line="240" w:lineRule="auto"/>
        <w:ind w:left="720"/>
      </w:pPr>
    </w:p>
    <w:p w:rsidR="00234F70" w:rsidRDefault="00234F70" w:rsidP="009D4E86">
      <w:pPr>
        <w:pStyle w:val="Listenabsatz"/>
        <w:spacing w:line="240" w:lineRule="auto"/>
        <w:ind w:left="720"/>
      </w:pPr>
    </w:p>
    <w:p w:rsidR="00234F70" w:rsidRDefault="00234F70" w:rsidP="009D4E86">
      <w:pPr>
        <w:pStyle w:val="Listenabsatz"/>
        <w:spacing w:line="240" w:lineRule="auto"/>
        <w:ind w:left="720"/>
      </w:pPr>
    </w:p>
    <w:p w:rsidR="00234F70" w:rsidRDefault="00234F70" w:rsidP="009D4E86">
      <w:pPr>
        <w:pStyle w:val="Listenabsatz"/>
        <w:spacing w:line="240" w:lineRule="auto"/>
        <w:ind w:left="720"/>
      </w:pPr>
    </w:p>
    <w:p w:rsidR="00234F70" w:rsidRDefault="00234F70" w:rsidP="009D4E86">
      <w:pPr>
        <w:pStyle w:val="Listenabsatz"/>
        <w:spacing w:line="240" w:lineRule="auto"/>
        <w:ind w:left="720"/>
      </w:pPr>
    </w:p>
    <w:p w:rsidR="00234F70" w:rsidRDefault="00234F70" w:rsidP="009D4E86">
      <w:pPr>
        <w:pStyle w:val="Listenabsatz"/>
        <w:spacing w:line="240" w:lineRule="auto"/>
        <w:ind w:left="720"/>
      </w:pPr>
    </w:p>
    <w:p w:rsidR="00234F70" w:rsidRDefault="00234F70" w:rsidP="009D4E86">
      <w:pPr>
        <w:pStyle w:val="Listenabsatz"/>
        <w:spacing w:line="240" w:lineRule="auto"/>
        <w:ind w:left="720"/>
      </w:pPr>
    </w:p>
    <w:p w:rsidR="00234F70" w:rsidRDefault="00234F70" w:rsidP="009D4E86">
      <w:pPr>
        <w:pStyle w:val="Listenabsatz"/>
        <w:spacing w:line="240" w:lineRule="auto"/>
        <w:ind w:left="720"/>
      </w:pPr>
    </w:p>
    <w:p w:rsidR="00234F70" w:rsidRDefault="00234F70" w:rsidP="009D4E86">
      <w:pPr>
        <w:pStyle w:val="Listenabsatz"/>
        <w:spacing w:line="240" w:lineRule="auto"/>
        <w:ind w:left="720"/>
      </w:pPr>
    </w:p>
    <w:p w:rsidR="00234F70" w:rsidRDefault="00234F70" w:rsidP="009D4E86">
      <w:pPr>
        <w:pStyle w:val="Listenabsatz"/>
        <w:spacing w:line="240" w:lineRule="auto"/>
        <w:ind w:left="720"/>
      </w:pPr>
    </w:p>
    <w:p w:rsidR="00234F70" w:rsidRDefault="00234F70" w:rsidP="009D4E86">
      <w:pPr>
        <w:pStyle w:val="Listenabsatz"/>
        <w:spacing w:line="240" w:lineRule="auto"/>
        <w:ind w:left="720"/>
      </w:pPr>
    </w:p>
    <w:p w:rsidR="00234F70" w:rsidRDefault="00234F70" w:rsidP="009D4E86">
      <w:pPr>
        <w:pStyle w:val="Listenabsatz"/>
        <w:spacing w:line="240" w:lineRule="auto"/>
        <w:ind w:left="720"/>
      </w:pPr>
    </w:p>
    <w:p w:rsidR="00234F70" w:rsidRDefault="00234F70" w:rsidP="004662E6">
      <w:pPr>
        <w:rPr>
          <w:b/>
          <w:sz w:val="28"/>
          <w:szCs w:val="28"/>
        </w:rPr>
      </w:pPr>
      <w:r w:rsidRPr="00234F70">
        <w:rPr>
          <w:b/>
          <w:noProof/>
          <w:lang w:eastAsia="de-DE"/>
        </w:rPr>
        <w:drawing>
          <wp:inline distT="0" distB="0" distL="0" distR="0">
            <wp:extent cx="1223645" cy="436245"/>
            <wp:effectExtent l="0" t="0" r="0" b="0"/>
            <wp:docPr id="2"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C_by.png"/>
                    <pic:cNvPicPr>
                      <a:picLocks noChangeAspect="1" noChangeArrowheads="1"/>
                    </pic:cNvPicPr>
                  </pic:nvPicPr>
                  <pic:blipFill>
                    <a:blip r:embed="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3645" cy="436245"/>
                    </a:xfrm>
                    <a:prstGeom prst="rect">
                      <a:avLst/>
                    </a:prstGeom>
                    <a:noFill/>
                    <a:ln>
                      <a:noFill/>
                    </a:ln>
                  </pic:spPr>
                </pic:pic>
              </a:graphicData>
            </a:graphic>
          </wp:inline>
        </w:drawing>
      </w:r>
      <w:r>
        <w:rPr>
          <w:b/>
        </w:rPr>
        <w:t xml:space="preserve"> </w:t>
      </w:r>
      <w:r w:rsidRPr="00234F70">
        <w:t>LISUM</w:t>
      </w:r>
    </w:p>
    <w:sectPr w:rsidR="00234F70" w:rsidSect="002C1C59">
      <w:footerReference w:type="default" r:id="rId10"/>
      <w:type w:val="continuous"/>
      <w:pgSz w:w="11906" w:h="16838"/>
      <w:pgMar w:top="1418" w:right="1418" w:bottom="82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289" w:rsidRDefault="00970289" w:rsidP="00837EC7">
      <w:pPr>
        <w:spacing w:line="240" w:lineRule="auto"/>
      </w:pPr>
      <w:r>
        <w:separator/>
      </w:r>
    </w:p>
  </w:endnote>
  <w:endnote w:type="continuationSeparator" w:id="0">
    <w:p w:rsidR="00970289" w:rsidRDefault="00970289" w:rsidP="00837E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24935"/>
      <w:docPartObj>
        <w:docPartGallery w:val="Page Numbers (Bottom of Page)"/>
        <w:docPartUnique/>
      </w:docPartObj>
    </w:sdtPr>
    <w:sdtContent>
      <w:p w:rsidR="00D70BC6" w:rsidRDefault="00D70BC6" w:rsidP="00937B60">
        <w:pPr>
          <w:pStyle w:val="Fuzeile"/>
          <w:tabs>
            <w:tab w:val="clear" w:pos="4536"/>
          </w:tabs>
          <w:jc w:val="center"/>
        </w:pPr>
        <w:r>
          <w:tab/>
        </w:r>
        <w:r w:rsidR="00947718">
          <w:fldChar w:fldCharType="begin"/>
        </w:r>
        <w:r>
          <w:instrText xml:space="preserve"> PAGE   \* MERGEFORMAT </w:instrText>
        </w:r>
        <w:r w:rsidR="00947718">
          <w:fldChar w:fldCharType="separate"/>
        </w:r>
        <w:r w:rsidR="002F670D">
          <w:rPr>
            <w:noProof/>
          </w:rPr>
          <w:t>1</w:t>
        </w:r>
        <w:r w:rsidR="00947718">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7684134"/>
      <w:docPartObj>
        <w:docPartGallery w:val="Page Numbers (Bottom of Page)"/>
        <w:docPartUnique/>
      </w:docPartObj>
    </w:sdtPr>
    <w:sdtContent>
      <w:p w:rsidR="00D70BC6" w:rsidRDefault="00D70BC6" w:rsidP="00937B60">
        <w:pPr>
          <w:pStyle w:val="Fuzeile"/>
          <w:tabs>
            <w:tab w:val="clear" w:pos="4536"/>
          </w:tabs>
          <w:jc w:val="center"/>
        </w:pPr>
        <w:r>
          <w:tab/>
        </w:r>
        <w:r w:rsidR="00947718">
          <w:fldChar w:fldCharType="begin"/>
        </w:r>
        <w:r>
          <w:instrText xml:space="preserve"> PAGE   \* MERGEFORMAT </w:instrText>
        </w:r>
        <w:r w:rsidR="00947718">
          <w:fldChar w:fldCharType="separate"/>
        </w:r>
        <w:r w:rsidR="002F670D">
          <w:rPr>
            <w:noProof/>
          </w:rPr>
          <w:t>3</w:t>
        </w:r>
        <w:r w:rsidR="00947718">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289" w:rsidRDefault="00970289" w:rsidP="00837EC7">
      <w:pPr>
        <w:spacing w:line="240" w:lineRule="auto"/>
      </w:pPr>
      <w:r>
        <w:separator/>
      </w:r>
    </w:p>
  </w:footnote>
  <w:footnote w:type="continuationSeparator" w:id="0">
    <w:p w:rsidR="00970289" w:rsidRDefault="00970289" w:rsidP="00837EC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040F"/>
    <w:multiLevelType w:val="hybridMultilevel"/>
    <w:tmpl w:val="15001192"/>
    <w:lvl w:ilvl="0" w:tplc="48DA5F58">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0718655F"/>
    <w:multiLevelType w:val="hybridMultilevel"/>
    <w:tmpl w:val="23E08F0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7E2187B"/>
    <w:multiLevelType w:val="hybridMultilevel"/>
    <w:tmpl w:val="23E08F0E"/>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0B142235"/>
    <w:multiLevelType w:val="hybridMultilevel"/>
    <w:tmpl w:val="F4A60E9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B9A325A"/>
    <w:multiLevelType w:val="hybridMultilevel"/>
    <w:tmpl w:val="7AFA3FD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D5930AA"/>
    <w:multiLevelType w:val="hybridMultilevel"/>
    <w:tmpl w:val="F6244670"/>
    <w:lvl w:ilvl="0" w:tplc="FB5ECD54">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nsid w:val="0FC53191"/>
    <w:multiLevelType w:val="hybridMultilevel"/>
    <w:tmpl w:val="90E05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1661C68"/>
    <w:multiLevelType w:val="hybridMultilevel"/>
    <w:tmpl w:val="0082DE90"/>
    <w:lvl w:ilvl="0" w:tplc="FB5ECD5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4442437"/>
    <w:multiLevelType w:val="hybridMultilevel"/>
    <w:tmpl w:val="D2942B7C"/>
    <w:lvl w:ilvl="0" w:tplc="8C68D31A">
      <w:start w:val="1"/>
      <w:numFmt w:val="bullet"/>
      <w:pStyle w:val="Aufzhlung"/>
      <w:lvlText w:val="­"/>
      <w:lvlJc w:val="left"/>
      <w:pPr>
        <w:ind w:left="643"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6253B33"/>
    <w:multiLevelType w:val="hybridMultilevel"/>
    <w:tmpl w:val="5872813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D3B0AF4"/>
    <w:multiLevelType w:val="hybridMultilevel"/>
    <w:tmpl w:val="9DCC3E2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4627DF7"/>
    <w:multiLevelType w:val="hybridMultilevel"/>
    <w:tmpl w:val="F4A60E9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89C120F"/>
    <w:multiLevelType w:val="hybridMultilevel"/>
    <w:tmpl w:val="2EC0F98E"/>
    <w:lvl w:ilvl="0" w:tplc="032621D4">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EFE0994"/>
    <w:multiLevelType w:val="hybridMultilevel"/>
    <w:tmpl w:val="23E08F0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1ED1D74"/>
    <w:multiLevelType w:val="hybridMultilevel"/>
    <w:tmpl w:val="23E08F0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37134D3"/>
    <w:multiLevelType w:val="hybridMultilevel"/>
    <w:tmpl w:val="82D24A8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nsid w:val="37B56359"/>
    <w:multiLevelType w:val="hybridMultilevel"/>
    <w:tmpl w:val="F5EC29E6"/>
    <w:lvl w:ilvl="0" w:tplc="544A2E5C">
      <w:start w:val="3"/>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A150703"/>
    <w:multiLevelType w:val="hybridMultilevel"/>
    <w:tmpl w:val="75388B0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DB10228"/>
    <w:multiLevelType w:val="hybridMultilevel"/>
    <w:tmpl w:val="ED4077F4"/>
    <w:lvl w:ilvl="0" w:tplc="8C9CA51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EDF2FA1"/>
    <w:multiLevelType w:val="hybridMultilevel"/>
    <w:tmpl w:val="D514098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3F572C3A"/>
    <w:multiLevelType w:val="hybridMultilevel"/>
    <w:tmpl w:val="BE5E90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464764E7"/>
    <w:multiLevelType w:val="hybridMultilevel"/>
    <w:tmpl w:val="BD82BA00"/>
    <w:lvl w:ilvl="0" w:tplc="416E7696">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nsid w:val="46C66E34"/>
    <w:multiLevelType w:val="hybridMultilevel"/>
    <w:tmpl w:val="15C6BE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7640176"/>
    <w:multiLevelType w:val="hybridMultilevel"/>
    <w:tmpl w:val="5A201AA6"/>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4">
    <w:nsid w:val="52C76C7F"/>
    <w:multiLevelType w:val="hybridMultilevel"/>
    <w:tmpl w:val="7D663C98"/>
    <w:lvl w:ilvl="0" w:tplc="4D1A47B6">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5">
    <w:nsid w:val="52EB44C4"/>
    <w:multiLevelType w:val="hybridMultilevel"/>
    <w:tmpl w:val="A2C60E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90F5826"/>
    <w:multiLevelType w:val="hybridMultilevel"/>
    <w:tmpl w:val="F3361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A675B28"/>
    <w:multiLevelType w:val="hybridMultilevel"/>
    <w:tmpl w:val="82C65810"/>
    <w:lvl w:ilvl="0" w:tplc="0BD4308A">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D3A4BF6"/>
    <w:multiLevelType w:val="hybridMultilevel"/>
    <w:tmpl w:val="D054B18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66E93F9A"/>
    <w:multiLevelType w:val="hybridMultilevel"/>
    <w:tmpl w:val="6D34D3B2"/>
    <w:lvl w:ilvl="0" w:tplc="FEB2BE6A">
      <w:start w:val="1"/>
      <w:numFmt w:val="decimal"/>
      <w:lvlText w:val="%1)"/>
      <w:lvlJc w:val="left"/>
      <w:pPr>
        <w:ind w:left="720" w:hanging="360"/>
      </w:pPr>
      <w:rPr>
        <w:rFonts w:ascii="Arial" w:eastAsia="Calibri" w:hAnsi="Arial"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68083C42"/>
    <w:multiLevelType w:val="hybridMultilevel"/>
    <w:tmpl w:val="DA86CE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26A255B"/>
    <w:multiLevelType w:val="hybridMultilevel"/>
    <w:tmpl w:val="60CA89F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nsid w:val="790D4C33"/>
    <w:multiLevelType w:val="hybridMultilevel"/>
    <w:tmpl w:val="23E08F0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CBB62E9"/>
    <w:multiLevelType w:val="hybridMultilevel"/>
    <w:tmpl w:val="CA6624F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5">
    <w:nsid w:val="7CBD2095"/>
    <w:multiLevelType w:val="hybridMultilevel"/>
    <w:tmpl w:val="8FA2E1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7D627D8C"/>
    <w:multiLevelType w:val="hybridMultilevel"/>
    <w:tmpl w:val="0E96E94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7F0C3E61"/>
    <w:multiLevelType w:val="hybridMultilevel"/>
    <w:tmpl w:val="F4A60E9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7"/>
  </w:num>
  <w:num w:numId="3">
    <w:abstractNumId w:val="27"/>
  </w:num>
  <w:num w:numId="4">
    <w:abstractNumId w:val="18"/>
  </w:num>
  <w:num w:numId="5">
    <w:abstractNumId w:val="32"/>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6"/>
  </w:num>
  <w:num w:numId="11">
    <w:abstractNumId w:val="13"/>
  </w:num>
  <w:num w:numId="12">
    <w:abstractNumId w:val="1"/>
  </w:num>
  <w:num w:numId="13">
    <w:abstractNumId w:val="14"/>
  </w:num>
  <w:num w:numId="14">
    <w:abstractNumId w:val="4"/>
  </w:num>
  <w:num w:numId="15">
    <w:abstractNumId w:val="0"/>
  </w:num>
  <w:num w:numId="16">
    <w:abstractNumId w:val="15"/>
  </w:num>
  <w:num w:numId="17">
    <w:abstractNumId w:val="20"/>
  </w:num>
  <w:num w:numId="18">
    <w:abstractNumId w:val="3"/>
  </w:num>
  <w:num w:numId="19">
    <w:abstractNumId w:val="23"/>
  </w:num>
  <w:num w:numId="20">
    <w:abstractNumId w:val="25"/>
  </w:num>
  <w:num w:numId="21">
    <w:abstractNumId w:val="22"/>
  </w:num>
  <w:num w:numId="22">
    <w:abstractNumId w:val="30"/>
  </w:num>
  <w:num w:numId="23">
    <w:abstractNumId w:val="8"/>
  </w:num>
  <w:num w:numId="24">
    <w:abstractNumId w:val="33"/>
  </w:num>
  <w:num w:numId="25">
    <w:abstractNumId w:val="31"/>
  </w:num>
  <w:num w:numId="26">
    <w:abstractNumId w:val="36"/>
  </w:num>
  <w:num w:numId="27">
    <w:abstractNumId w:val="37"/>
  </w:num>
  <w:num w:numId="28">
    <w:abstractNumId w:val="10"/>
  </w:num>
  <w:num w:numId="29">
    <w:abstractNumId w:val="11"/>
  </w:num>
  <w:num w:numId="30">
    <w:abstractNumId w:val="29"/>
  </w:num>
  <w:num w:numId="31">
    <w:abstractNumId w:val="35"/>
  </w:num>
  <w:num w:numId="32">
    <w:abstractNumId w:val="2"/>
  </w:num>
  <w:num w:numId="33">
    <w:abstractNumId w:val="9"/>
  </w:num>
  <w:num w:numId="34">
    <w:abstractNumId w:val="17"/>
  </w:num>
  <w:num w:numId="35">
    <w:abstractNumId w:val="19"/>
  </w:num>
  <w:num w:numId="36">
    <w:abstractNumId w:val="28"/>
  </w:num>
  <w:num w:numId="37">
    <w:abstractNumId w:val="12"/>
  </w:num>
  <w:num w:numId="38">
    <w:abstractNumId w:val="16"/>
  </w:num>
  <w:num w:numId="3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ocumentProtection w:edit="forms" w:enforcement="0"/>
  <w:defaultTabStop w:val="708"/>
  <w:autoHyphenation/>
  <w:hyphenationZone w:val="425"/>
  <w:characterSpacingControl w:val="doNotCompress"/>
  <w:hdrShapeDefaults>
    <o:shapedefaults v:ext="edit" spidmax="28674"/>
  </w:hdrShapeDefaults>
  <w:footnotePr>
    <w:footnote w:id="-1"/>
    <w:footnote w:id="0"/>
  </w:footnotePr>
  <w:endnotePr>
    <w:endnote w:id="-1"/>
    <w:endnote w:id="0"/>
  </w:endnotePr>
  <w:compat/>
  <w:rsids>
    <w:rsidRoot w:val="007E14E3"/>
    <w:rsid w:val="00000B69"/>
    <w:rsid w:val="00001A1A"/>
    <w:rsid w:val="00001B57"/>
    <w:rsid w:val="0000630A"/>
    <w:rsid w:val="00010A73"/>
    <w:rsid w:val="000209E8"/>
    <w:rsid w:val="0002135C"/>
    <w:rsid w:val="0002556C"/>
    <w:rsid w:val="00026139"/>
    <w:rsid w:val="00026F36"/>
    <w:rsid w:val="0004165F"/>
    <w:rsid w:val="00064306"/>
    <w:rsid w:val="00064CBE"/>
    <w:rsid w:val="00066070"/>
    <w:rsid w:val="000A2A61"/>
    <w:rsid w:val="000A4B8B"/>
    <w:rsid w:val="000E17EC"/>
    <w:rsid w:val="000E1F71"/>
    <w:rsid w:val="000F11B4"/>
    <w:rsid w:val="000F152A"/>
    <w:rsid w:val="00105C8F"/>
    <w:rsid w:val="00116702"/>
    <w:rsid w:val="001206DA"/>
    <w:rsid w:val="00130827"/>
    <w:rsid w:val="00133562"/>
    <w:rsid w:val="0013419B"/>
    <w:rsid w:val="00136172"/>
    <w:rsid w:val="00142DFA"/>
    <w:rsid w:val="00144A67"/>
    <w:rsid w:val="00155F4E"/>
    <w:rsid w:val="00156750"/>
    <w:rsid w:val="001574BE"/>
    <w:rsid w:val="0016097F"/>
    <w:rsid w:val="001634E6"/>
    <w:rsid w:val="00163D87"/>
    <w:rsid w:val="0017211E"/>
    <w:rsid w:val="001848BD"/>
    <w:rsid w:val="00184912"/>
    <w:rsid w:val="00185133"/>
    <w:rsid w:val="00185B02"/>
    <w:rsid w:val="00187699"/>
    <w:rsid w:val="0019348D"/>
    <w:rsid w:val="001A32BC"/>
    <w:rsid w:val="001A71B9"/>
    <w:rsid w:val="001B043E"/>
    <w:rsid w:val="001B1F09"/>
    <w:rsid w:val="001C3197"/>
    <w:rsid w:val="001C5273"/>
    <w:rsid w:val="001D5651"/>
    <w:rsid w:val="001E2998"/>
    <w:rsid w:val="001E7C30"/>
    <w:rsid w:val="001F16D0"/>
    <w:rsid w:val="001F319E"/>
    <w:rsid w:val="0020115E"/>
    <w:rsid w:val="00202F49"/>
    <w:rsid w:val="002052E8"/>
    <w:rsid w:val="00206E1F"/>
    <w:rsid w:val="00221185"/>
    <w:rsid w:val="002348B8"/>
    <w:rsid w:val="00234F70"/>
    <w:rsid w:val="00236DB9"/>
    <w:rsid w:val="00246257"/>
    <w:rsid w:val="00256D2E"/>
    <w:rsid w:val="00263DD7"/>
    <w:rsid w:val="0027654F"/>
    <w:rsid w:val="002879A6"/>
    <w:rsid w:val="00290001"/>
    <w:rsid w:val="002961E0"/>
    <w:rsid w:val="002A01A7"/>
    <w:rsid w:val="002A04B8"/>
    <w:rsid w:val="002A2294"/>
    <w:rsid w:val="002B14FC"/>
    <w:rsid w:val="002B719F"/>
    <w:rsid w:val="002C1C59"/>
    <w:rsid w:val="002C7B4E"/>
    <w:rsid w:val="002D3F70"/>
    <w:rsid w:val="002D55C9"/>
    <w:rsid w:val="002E1682"/>
    <w:rsid w:val="002E432B"/>
    <w:rsid w:val="002F3C8C"/>
    <w:rsid w:val="002F670D"/>
    <w:rsid w:val="00300E1A"/>
    <w:rsid w:val="00301F1E"/>
    <w:rsid w:val="003132D1"/>
    <w:rsid w:val="00314E79"/>
    <w:rsid w:val="00321743"/>
    <w:rsid w:val="00334567"/>
    <w:rsid w:val="003427A7"/>
    <w:rsid w:val="00345B38"/>
    <w:rsid w:val="00363539"/>
    <w:rsid w:val="00375677"/>
    <w:rsid w:val="00376672"/>
    <w:rsid w:val="00381AB2"/>
    <w:rsid w:val="00382EAF"/>
    <w:rsid w:val="00390900"/>
    <w:rsid w:val="00394A53"/>
    <w:rsid w:val="003C2301"/>
    <w:rsid w:val="003C73C1"/>
    <w:rsid w:val="003C7D44"/>
    <w:rsid w:val="003D4868"/>
    <w:rsid w:val="003D72B1"/>
    <w:rsid w:val="003E3C3B"/>
    <w:rsid w:val="003F4234"/>
    <w:rsid w:val="003F54BA"/>
    <w:rsid w:val="0040115E"/>
    <w:rsid w:val="004072A0"/>
    <w:rsid w:val="00411347"/>
    <w:rsid w:val="00411710"/>
    <w:rsid w:val="004221DC"/>
    <w:rsid w:val="00445083"/>
    <w:rsid w:val="00445672"/>
    <w:rsid w:val="0044740A"/>
    <w:rsid w:val="00447565"/>
    <w:rsid w:val="00447A44"/>
    <w:rsid w:val="004662E6"/>
    <w:rsid w:val="00467ABE"/>
    <w:rsid w:val="004851BE"/>
    <w:rsid w:val="0049671A"/>
    <w:rsid w:val="00496D76"/>
    <w:rsid w:val="004A01D2"/>
    <w:rsid w:val="004B3CE8"/>
    <w:rsid w:val="004C485B"/>
    <w:rsid w:val="004C5D31"/>
    <w:rsid w:val="004C6164"/>
    <w:rsid w:val="004D4588"/>
    <w:rsid w:val="004E0576"/>
    <w:rsid w:val="004F2531"/>
    <w:rsid w:val="004F3656"/>
    <w:rsid w:val="005038C0"/>
    <w:rsid w:val="005052CB"/>
    <w:rsid w:val="00507C32"/>
    <w:rsid w:val="00511901"/>
    <w:rsid w:val="00515ABC"/>
    <w:rsid w:val="005263C7"/>
    <w:rsid w:val="0053176D"/>
    <w:rsid w:val="00537A2A"/>
    <w:rsid w:val="00557EB1"/>
    <w:rsid w:val="00565F2D"/>
    <w:rsid w:val="00572FEE"/>
    <w:rsid w:val="0057368F"/>
    <w:rsid w:val="005745A1"/>
    <w:rsid w:val="005960DF"/>
    <w:rsid w:val="00597580"/>
    <w:rsid w:val="005B383A"/>
    <w:rsid w:val="005C16CC"/>
    <w:rsid w:val="005D4F94"/>
    <w:rsid w:val="005D78AB"/>
    <w:rsid w:val="005F119A"/>
    <w:rsid w:val="005F1323"/>
    <w:rsid w:val="005F1ACA"/>
    <w:rsid w:val="006026BF"/>
    <w:rsid w:val="006076F2"/>
    <w:rsid w:val="006136AB"/>
    <w:rsid w:val="00616CA3"/>
    <w:rsid w:val="00621746"/>
    <w:rsid w:val="0062706E"/>
    <w:rsid w:val="0064788B"/>
    <w:rsid w:val="00653D51"/>
    <w:rsid w:val="006603DB"/>
    <w:rsid w:val="00660ABD"/>
    <w:rsid w:val="00663BC9"/>
    <w:rsid w:val="00677337"/>
    <w:rsid w:val="00693842"/>
    <w:rsid w:val="006A22F8"/>
    <w:rsid w:val="006A37A0"/>
    <w:rsid w:val="006A599E"/>
    <w:rsid w:val="006A6B0E"/>
    <w:rsid w:val="006B2750"/>
    <w:rsid w:val="006B3075"/>
    <w:rsid w:val="006B3C67"/>
    <w:rsid w:val="006C3750"/>
    <w:rsid w:val="006C3BC7"/>
    <w:rsid w:val="006C4BD2"/>
    <w:rsid w:val="006C713F"/>
    <w:rsid w:val="006D084A"/>
    <w:rsid w:val="006D5EEA"/>
    <w:rsid w:val="006D719E"/>
    <w:rsid w:val="006E199B"/>
    <w:rsid w:val="007024FB"/>
    <w:rsid w:val="007050D7"/>
    <w:rsid w:val="007077A9"/>
    <w:rsid w:val="00721379"/>
    <w:rsid w:val="00721600"/>
    <w:rsid w:val="00730A4F"/>
    <w:rsid w:val="0073112B"/>
    <w:rsid w:val="00733760"/>
    <w:rsid w:val="00733CEF"/>
    <w:rsid w:val="007357B6"/>
    <w:rsid w:val="00741C0B"/>
    <w:rsid w:val="0075789A"/>
    <w:rsid w:val="007621DD"/>
    <w:rsid w:val="00762AD3"/>
    <w:rsid w:val="00764019"/>
    <w:rsid w:val="0076509A"/>
    <w:rsid w:val="00772568"/>
    <w:rsid w:val="00785C29"/>
    <w:rsid w:val="007C1D1C"/>
    <w:rsid w:val="007C32D6"/>
    <w:rsid w:val="007C3E2C"/>
    <w:rsid w:val="007C5486"/>
    <w:rsid w:val="007C60D5"/>
    <w:rsid w:val="007D2CAB"/>
    <w:rsid w:val="007D6BA1"/>
    <w:rsid w:val="007E14E3"/>
    <w:rsid w:val="007E2B0B"/>
    <w:rsid w:val="007E5A3F"/>
    <w:rsid w:val="007F7CF5"/>
    <w:rsid w:val="00800BD6"/>
    <w:rsid w:val="008109AD"/>
    <w:rsid w:val="008119C5"/>
    <w:rsid w:val="0081228D"/>
    <w:rsid w:val="00820851"/>
    <w:rsid w:val="00825908"/>
    <w:rsid w:val="00826C8F"/>
    <w:rsid w:val="00832B32"/>
    <w:rsid w:val="00837EC7"/>
    <w:rsid w:val="00845B1C"/>
    <w:rsid w:val="00845F03"/>
    <w:rsid w:val="00847D91"/>
    <w:rsid w:val="008664AB"/>
    <w:rsid w:val="008679A5"/>
    <w:rsid w:val="008724F2"/>
    <w:rsid w:val="00883B98"/>
    <w:rsid w:val="00893CAC"/>
    <w:rsid w:val="008A1768"/>
    <w:rsid w:val="008B1D49"/>
    <w:rsid w:val="008B5E7C"/>
    <w:rsid w:val="008B6E6E"/>
    <w:rsid w:val="008D44CB"/>
    <w:rsid w:val="008D76B3"/>
    <w:rsid w:val="008E0C06"/>
    <w:rsid w:val="008E2ED1"/>
    <w:rsid w:val="008E351D"/>
    <w:rsid w:val="008E7D45"/>
    <w:rsid w:val="008F78E6"/>
    <w:rsid w:val="009130D2"/>
    <w:rsid w:val="00931989"/>
    <w:rsid w:val="00931C2B"/>
    <w:rsid w:val="00937B60"/>
    <w:rsid w:val="00947718"/>
    <w:rsid w:val="00951B45"/>
    <w:rsid w:val="00953CAC"/>
    <w:rsid w:val="0095526F"/>
    <w:rsid w:val="0095558E"/>
    <w:rsid w:val="00955F5F"/>
    <w:rsid w:val="00965542"/>
    <w:rsid w:val="00970289"/>
    <w:rsid w:val="00971722"/>
    <w:rsid w:val="00990EB0"/>
    <w:rsid w:val="009A1174"/>
    <w:rsid w:val="009A1D85"/>
    <w:rsid w:val="009B2533"/>
    <w:rsid w:val="009C3682"/>
    <w:rsid w:val="009D4E86"/>
    <w:rsid w:val="009F23E2"/>
    <w:rsid w:val="009F42E4"/>
    <w:rsid w:val="009F763C"/>
    <w:rsid w:val="00A16097"/>
    <w:rsid w:val="00A20523"/>
    <w:rsid w:val="00A23F31"/>
    <w:rsid w:val="00A26530"/>
    <w:rsid w:val="00A319C4"/>
    <w:rsid w:val="00A366CC"/>
    <w:rsid w:val="00A435BD"/>
    <w:rsid w:val="00A46016"/>
    <w:rsid w:val="00A55389"/>
    <w:rsid w:val="00A57E9B"/>
    <w:rsid w:val="00A804F8"/>
    <w:rsid w:val="00A828A1"/>
    <w:rsid w:val="00A973E5"/>
    <w:rsid w:val="00AB509B"/>
    <w:rsid w:val="00AC4CBE"/>
    <w:rsid w:val="00AD39E6"/>
    <w:rsid w:val="00AE2D84"/>
    <w:rsid w:val="00AE3A55"/>
    <w:rsid w:val="00AE7A38"/>
    <w:rsid w:val="00AF443C"/>
    <w:rsid w:val="00AF7DC8"/>
    <w:rsid w:val="00B0685F"/>
    <w:rsid w:val="00B20F0C"/>
    <w:rsid w:val="00B52EB2"/>
    <w:rsid w:val="00B542E5"/>
    <w:rsid w:val="00B60793"/>
    <w:rsid w:val="00B66103"/>
    <w:rsid w:val="00B72312"/>
    <w:rsid w:val="00B732DF"/>
    <w:rsid w:val="00B766EB"/>
    <w:rsid w:val="00B84858"/>
    <w:rsid w:val="00B94BD8"/>
    <w:rsid w:val="00BA418B"/>
    <w:rsid w:val="00BB5B4B"/>
    <w:rsid w:val="00BC3EE2"/>
    <w:rsid w:val="00BC763D"/>
    <w:rsid w:val="00BD4EC1"/>
    <w:rsid w:val="00BD7E76"/>
    <w:rsid w:val="00BE2826"/>
    <w:rsid w:val="00BE7704"/>
    <w:rsid w:val="00BF22FF"/>
    <w:rsid w:val="00BF2994"/>
    <w:rsid w:val="00BF4880"/>
    <w:rsid w:val="00C01D4F"/>
    <w:rsid w:val="00C12B4F"/>
    <w:rsid w:val="00C16860"/>
    <w:rsid w:val="00C23DB6"/>
    <w:rsid w:val="00C2466F"/>
    <w:rsid w:val="00C2632F"/>
    <w:rsid w:val="00C40AE8"/>
    <w:rsid w:val="00C452C2"/>
    <w:rsid w:val="00C47F23"/>
    <w:rsid w:val="00C51BFE"/>
    <w:rsid w:val="00C6552D"/>
    <w:rsid w:val="00C711B3"/>
    <w:rsid w:val="00C75B74"/>
    <w:rsid w:val="00C93FAC"/>
    <w:rsid w:val="00CA44AC"/>
    <w:rsid w:val="00CA5E3F"/>
    <w:rsid w:val="00CA62B5"/>
    <w:rsid w:val="00CB3549"/>
    <w:rsid w:val="00CC2D0F"/>
    <w:rsid w:val="00CC7251"/>
    <w:rsid w:val="00CD3278"/>
    <w:rsid w:val="00CF06B9"/>
    <w:rsid w:val="00CF719B"/>
    <w:rsid w:val="00D0707C"/>
    <w:rsid w:val="00D16F1D"/>
    <w:rsid w:val="00D226DE"/>
    <w:rsid w:val="00D270BC"/>
    <w:rsid w:val="00D30F12"/>
    <w:rsid w:val="00D317CC"/>
    <w:rsid w:val="00D363DD"/>
    <w:rsid w:val="00D41BE0"/>
    <w:rsid w:val="00D70BC6"/>
    <w:rsid w:val="00D70C7A"/>
    <w:rsid w:val="00D71665"/>
    <w:rsid w:val="00D821B2"/>
    <w:rsid w:val="00D863E6"/>
    <w:rsid w:val="00DB11B9"/>
    <w:rsid w:val="00DB4A9C"/>
    <w:rsid w:val="00DC58F2"/>
    <w:rsid w:val="00DC762A"/>
    <w:rsid w:val="00DD0C30"/>
    <w:rsid w:val="00DD3907"/>
    <w:rsid w:val="00DF1F88"/>
    <w:rsid w:val="00DF308F"/>
    <w:rsid w:val="00E023CD"/>
    <w:rsid w:val="00E04327"/>
    <w:rsid w:val="00E04745"/>
    <w:rsid w:val="00E06D6A"/>
    <w:rsid w:val="00E12EB6"/>
    <w:rsid w:val="00E16A0E"/>
    <w:rsid w:val="00E16B27"/>
    <w:rsid w:val="00E31B35"/>
    <w:rsid w:val="00E31FD5"/>
    <w:rsid w:val="00E579BF"/>
    <w:rsid w:val="00E72519"/>
    <w:rsid w:val="00E73B04"/>
    <w:rsid w:val="00E73B68"/>
    <w:rsid w:val="00E84ADD"/>
    <w:rsid w:val="00E85DB9"/>
    <w:rsid w:val="00E86529"/>
    <w:rsid w:val="00E9035A"/>
    <w:rsid w:val="00E96218"/>
    <w:rsid w:val="00EA4734"/>
    <w:rsid w:val="00EA5291"/>
    <w:rsid w:val="00EB070D"/>
    <w:rsid w:val="00EB1DFC"/>
    <w:rsid w:val="00EC0753"/>
    <w:rsid w:val="00EC09E7"/>
    <w:rsid w:val="00EC1F75"/>
    <w:rsid w:val="00EC51CF"/>
    <w:rsid w:val="00EC68C4"/>
    <w:rsid w:val="00ED0EC3"/>
    <w:rsid w:val="00ED1313"/>
    <w:rsid w:val="00F13C3A"/>
    <w:rsid w:val="00F17F92"/>
    <w:rsid w:val="00F2257F"/>
    <w:rsid w:val="00F22CB3"/>
    <w:rsid w:val="00F23C75"/>
    <w:rsid w:val="00F32962"/>
    <w:rsid w:val="00F372D1"/>
    <w:rsid w:val="00F37800"/>
    <w:rsid w:val="00F42AC2"/>
    <w:rsid w:val="00F43A50"/>
    <w:rsid w:val="00F5187C"/>
    <w:rsid w:val="00F639EB"/>
    <w:rsid w:val="00F74742"/>
    <w:rsid w:val="00F8546B"/>
    <w:rsid w:val="00F86862"/>
    <w:rsid w:val="00F86E35"/>
    <w:rsid w:val="00F92C83"/>
    <w:rsid w:val="00F92FC7"/>
    <w:rsid w:val="00F95593"/>
    <w:rsid w:val="00FA0BB9"/>
    <w:rsid w:val="00FA3F0D"/>
    <w:rsid w:val="00FC24B7"/>
    <w:rsid w:val="00FC753E"/>
    <w:rsid w:val="00FD5A11"/>
    <w:rsid w:val="00FF0764"/>
    <w:rsid w:val="00FF0C35"/>
    <w:rsid w:val="00FF78E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gitternetz">
    <w:name w:val="Table Grid"/>
    <w:basedOn w:val="NormaleTabelle"/>
    <w:uiPriority w:val="59"/>
    <w:rsid w:val="00E57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837EC7"/>
    <w:pPr>
      <w:tabs>
        <w:tab w:val="center" w:pos="4536"/>
        <w:tab w:val="right" w:pos="9072"/>
      </w:tabs>
    </w:pPr>
  </w:style>
  <w:style w:type="character" w:customStyle="1" w:styleId="KopfzeileZchn">
    <w:name w:val="Kopfzeile Zchn"/>
    <w:basedOn w:val="Absatz-Standardschriftart"/>
    <w:link w:val="Kopfzeile"/>
    <w:uiPriority w:val="99"/>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 w:type="character" w:customStyle="1" w:styleId="apple-converted-space">
    <w:name w:val="apple-converted-space"/>
    <w:basedOn w:val="Absatz-Standardschriftart"/>
    <w:rsid w:val="002C1C59"/>
  </w:style>
  <w:style w:type="character" w:styleId="Hyperlink">
    <w:name w:val="Hyperlink"/>
    <w:basedOn w:val="Absatz-Standardschriftart"/>
    <w:uiPriority w:val="99"/>
    <w:unhideWhenUsed/>
    <w:rsid w:val="002C1C59"/>
    <w:rPr>
      <w:color w:val="0000FF" w:themeColor="hyperlink"/>
      <w:u w:val="single"/>
    </w:rPr>
  </w:style>
  <w:style w:type="character" w:styleId="Zeilennummer">
    <w:name w:val="line number"/>
    <w:basedOn w:val="Absatz-Standardschriftart"/>
    <w:uiPriority w:val="99"/>
    <w:semiHidden/>
    <w:unhideWhenUsed/>
    <w:rsid w:val="002C1C59"/>
  </w:style>
  <w:style w:type="paragraph" w:customStyle="1" w:styleId="Aufzhlung">
    <w:name w:val="Aufzählung"/>
    <w:basedOn w:val="Standard"/>
    <w:qFormat/>
    <w:rsid w:val="00EB1DFC"/>
    <w:pPr>
      <w:numPr>
        <w:numId w:val="23"/>
      </w:numPr>
      <w:spacing w:before="80" w:after="80" w:line="240" w:lineRule="auto"/>
      <w:ind w:left="284" w:hanging="227"/>
    </w:pPr>
    <w:rPr>
      <w:rFonts w:eastAsia="Arial Unicode MS" w:cs="Arial"/>
      <w:color w:val="000000"/>
      <w:lang w:eastAsia="de-DE"/>
    </w:rPr>
  </w:style>
  <w:style w:type="paragraph" w:styleId="KeinLeerraum">
    <w:name w:val="No Spacing"/>
    <w:uiPriority w:val="1"/>
    <w:qFormat/>
    <w:rsid w:val="0064788B"/>
    <w:rPr>
      <w:rFonts w:ascii="Arial" w:hAnsi="Arial"/>
      <w:sz w:val="22"/>
      <w:szCs w:val="22"/>
      <w:lang w:eastAsia="en-US"/>
    </w:rPr>
  </w:style>
  <w:style w:type="paragraph" w:styleId="berarbeitung">
    <w:name w:val="Revision"/>
    <w:hidden/>
    <w:uiPriority w:val="99"/>
    <w:semiHidden/>
    <w:rsid w:val="00066070"/>
    <w:rPr>
      <w:rFonts w:ascii="Arial" w:hAnsi="Arial"/>
      <w:sz w:val="22"/>
      <w:szCs w:val="22"/>
      <w:lang w:eastAsia="en-US"/>
    </w:rPr>
  </w:style>
  <w:style w:type="character" w:styleId="Kommentarzeichen">
    <w:name w:val="annotation reference"/>
    <w:basedOn w:val="Absatz-Standardschriftart"/>
    <w:uiPriority w:val="99"/>
    <w:semiHidden/>
    <w:unhideWhenUsed/>
    <w:rsid w:val="009A1174"/>
    <w:rPr>
      <w:sz w:val="16"/>
      <w:szCs w:val="16"/>
    </w:rPr>
  </w:style>
  <w:style w:type="paragraph" w:styleId="Kommentartext">
    <w:name w:val="annotation text"/>
    <w:basedOn w:val="Standard"/>
    <w:link w:val="KommentartextZchn"/>
    <w:uiPriority w:val="99"/>
    <w:semiHidden/>
    <w:unhideWhenUsed/>
    <w:rsid w:val="009A117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A1174"/>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9A1174"/>
    <w:rPr>
      <w:b/>
      <w:bCs/>
    </w:rPr>
  </w:style>
  <w:style w:type="character" w:customStyle="1" w:styleId="KommentarthemaZchn">
    <w:name w:val="Kommentarthema Zchn"/>
    <w:basedOn w:val="KommentartextZchn"/>
    <w:link w:val="Kommentarthema"/>
    <w:uiPriority w:val="99"/>
    <w:semiHidden/>
    <w:rsid w:val="009A1174"/>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raster">
    <w:name w:val="Table Grid"/>
    <w:basedOn w:val="NormaleTabelle"/>
    <w:uiPriority w:val="59"/>
    <w:rsid w:val="00E57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37EC7"/>
    <w:pPr>
      <w:tabs>
        <w:tab w:val="center" w:pos="4536"/>
        <w:tab w:val="right" w:pos="9072"/>
      </w:tabs>
    </w:pPr>
  </w:style>
  <w:style w:type="character" w:customStyle="1" w:styleId="KopfzeileZchn">
    <w:name w:val="Kopfzeile Zchn"/>
    <w:basedOn w:val="Absatz-Standardschriftart"/>
    <w:link w:val="Kopfzeile"/>
    <w:uiPriority w:val="99"/>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 w:type="character" w:customStyle="1" w:styleId="apple-converted-space">
    <w:name w:val="apple-converted-space"/>
    <w:basedOn w:val="Absatz-Standardschriftart"/>
    <w:rsid w:val="002C1C59"/>
  </w:style>
  <w:style w:type="character" w:styleId="Hyperlink">
    <w:name w:val="Hyperlink"/>
    <w:basedOn w:val="Absatz-Standardschriftart"/>
    <w:uiPriority w:val="99"/>
    <w:unhideWhenUsed/>
    <w:rsid w:val="002C1C59"/>
    <w:rPr>
      <w:color w:val="0000FF" w:themeColor="hyperlink"/>
      <w:u w:val="single"/>
    </w:rPr>
  </w:style>
  <w:style w:type="character" w:styleId="Zeilennummer">
    <w:name w:val="line number"/>
    <w:basedOn w:val="Absatz-Standardschriftart"/>
    <w:uiPriority w:val="99"/>
    <w:semiHidden/>
    <w:unhideWhenUsed/>
    <w:rsid w:val="002C1C59"/>
  </w:style>
  <w:style w:type="paragraph" w:customStyle="1" w:styleId="Aufzhlung">
    <w:name w:val="Aufzählung"/>
    <w:basedOn w:val="Standard"/>
    <w:qFormat/>
    <w:rsid w:val="00EB1DFC"/>
    <w:pPr>
      <w:numPr>
        <w:numId w:val="23"/>
      </w:numPr>
      <w:spacing w:before="80" w:after="80" w:line="240" w:lineRule="auto"/>
      <w:ind w:left="284" w:hanging="227"/>
    </w:pPr>
    <w:rPr>
      <w:rFonts w:eastAsia="Arial Unicode MS" w:cs="Arial"/>
      <w:color w:val="000000"/>
      <w:lang w:eastAsia="de-DE"/>
    </w:rPr>
  </w:style>
  <w:style w:type="paragraph" w:styleId="KeinLeerraum">
    <w:name w:val="No Spacing"/>
    <w:uiPriority w:val="1"/>
    <w:qFormat/>
    <w:rsid w:val="0064788B"/>
    <w:rPr>
      <w:rFonts w:ascii="Arial" w:hAnsi="Arial"/>
      <w:sz w:val="22"/>
      <w:szCs w:val="22"/>
      <w:lang w:eastAsia="en-US"/>
    </w:rPr>
  </w:style>
  <w:style w:type="paragraph" w:styleId="berarbeitung">
    <w:name w:val="Revision"/>
    <w:hidden/>
    <w:uiPriority w:val="99"/>
    <w:semiHidden/>
    <w:rsid w:val="00066070"/>
    <w:rPr>
      <w:rFonts w:ascii="Arial" w:hAnsi="Arial"/>
      <w:sz w:val="22"/>
      <w:szCs w:val="22"/>
      <w:lang w:eastAsia="en-US"/>
    </w:rPr>
  </w:style>
  <w:style w:type="character" w:styleId="Kommentarzeichen">
    <w:name w:val="annotation reference"/>
    <w:basedOn w:val="Absatz-Standardschriftart"/>
    <w:uiPriority w:val="99"/>
    <w:semiHidden/>
    <w:unhideWhenUsed/>
    <w:rsid w:val="009A1174"/>
    <w:rPr>
      <w:sz w:val="16"/>
      <w:szCs w:val="16"/>
    </w:rPr>
  </w:style>
  <w:style w:type="paragraph" w:styleId="Kommentartext">
    <w:name w:val="annotation text"/>
    <w:basedOn w:val="Standard"/>
    <w:link w:val="KommentartextZchn"/>
    <w:uiPriority w:val="99"/>
    <w:semiHidden/>
    <w:unhideWhenUsed/>
    <w:rsid w:val="009A117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A1174"/>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9A1174"/>
    <w:rPr>
      <w:b/>
      <w:bCs/>
    </w:rPr>
  </w:style>
  <w:style w:type="character" w:customStyle="1" w:styleId="KommentarthemaZchn">
    <w:name w:val="Kommentarthema Zchn"/>
    <w:basedOn w:val="KommentartextZchn"/>
    <w:link w:val="Kommentarthema"/>
    <w:uiPriority w:val="99"/>
    <w:semiHidden/>
    <w:rsid w:val="009A1174"/>
    <w:rPr>
      <w:rFonts w:ascii="Arial" w:hAnsi="Arial"/>
      <w:b/>
      <w:bCs/>
      <w:lang w:eastAsia="en-US"/>
    </w:rPr>
  </w:style>
</w:styles>
</file>

<file path=word/webSettings.xml><?xml version="1.0" encoding="utf-8"?>
<w:webSettings xmlns:r="http://schemas.openxmlformats.org/officeDocument/2006/relationships" xmlns:w="http://schemas.openxmlformats.org/wordprocessingml/2006/main">
  <w:divs>
    <w:div w:id="15074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ter\AppData\Local\Temp\XPgrpwise\Formatvorlage_standardillustrierende_Aufg_2014_12_0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3ADDD8-AF9F-4328-B908-2C42F0971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Formatvorlage_standardillustrierende_Aufg_2014_12_01</Template>
  <TotalTime>0</TotalTime>
  <Pages>5</Pages>
  <Words>1273</Words>
  <Characters>8025</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9280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Beste</dc:creator>
  <cp:lastModifiedBy>Peschel</cp:lastModifiedBy>
  <cp:revision>2</cp:revision>
  <cp:lastPrinted>2015-08-19T09:48:00Z</cp:lastPrinted>
  <dcterms:created xsi:type="dcterms:W3CDTF">2015-12-03T13:54:00Z</dcterms:created>
  <dcterms:modified xsi:type="dcterms:W3CDTF">2015-12-03T13:54:00Z</dcterms:modified>
</cp:coreProperties>
</file>