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5026B" w:rsidP="00321743">
            <w:pPr>
              <w:spacing w:before="200" w:after="200"/>
            </w:pPr>
            <w:r>
              <w:t>Naturwissenschaften 7- 10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5026B" w:rsidP="00321743">
            <w:pPr>
              <w:spacing w:before="200" w:after="200"/>
            </w:pPr>
            <w:r w:rsidRPr="0045026B"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5971B6" w:rsidP="00321743">
            <w:pPr>
              <w:tabs>
                <w:tab w:val="left" w:pos="1373"/>
              </w:tabs>
              <w:spacing w:before="200" w:after="200"/>
            </w:pPr>
            <w:r>
              <w:t>Basiskonzepte nutzen und vernetzen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96B47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5026B" w:rsidP="00B96B47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CB54B3">
              <w:t xml:space="preserve">Schülerinnen und Schüler </w:t>
            </w:r>
            <w:r>
              <w:t xml:space="preserve">können </w:t>
            </w:r>
            <w:r w:rsidR="00B96B47">
              <w:t>naturwissenschaftliche Inhalte Basiskonzepten zuordnen.</w:t>
            </w:r>
          </w:p>
        </w:tc>
      </w:tr>
      <w:tr w:rsidR="00B94BD8" w:rsidRPr="007F6F43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  <w:r w:rsidR="00314A1B">
              <w:rPr>
                <w:b/>
              </w:rPr>
              <w:t xml:space="preserve"> (</w:t>
            </w:r>
            <w:proofErr w:type="spellStart"/>
            <w:r w:rsidR="00314A1B">
              <w:rPr>
                <w:b/>
              </w:rPr>
              <w:t>Tf</w:t>
            </w:r>
            <w:proofErr w:type="spellEnd"/>
            <w:r w:rsidR="00314A1B">
              <w:rPr>
                <w:b/>
              </w:rPr>
              <w:t>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314A1B" w:rsidRDefault="00DB08E6" w:rsidP="006D7E07">
            <w:pPr>
              <w:tabs>
                <w:tab w:val="left" w:pos="1190"/>
              </w:tabs>
              <w:spacing w:before="200" w:after="20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D7E07">
              <w:rPr>
                <w:lang w:val="en-US"/>
              </w:rPr>
              <w:t>F</w:t>
            </w:r>
            <w:r>
              <w:rPr>
                <w:lang w:val="en-US"/>
              </w:rPr>
              <w:t xml:space="preserve"> 2, </w:t>
            </w:r>
            <w:r w:rsidR="00314A1B" w:rsidRPr="00314A1B">
              <w:rPr>
                <w:lang w:val="en-US"/>
              </w:rPr>
              <w:t>T</w:t>
            </w:r>
            <w:r w:rsidR="006D7E07">
              <w:rPr>
                <w:lang w:val="en-US"/>
              </w:rPr>
              <w:t>F</w:t>
            </w:r>
            <w:r w:rsidR="00314A1B" w:rsidRPr="00314A1B">
              <w:rPr>
                <w:lang w:val="en-US"/>
              </w:rPr>
              <w:t xml:space="preserve"> 3, T</w:t>
            </w:r>
            <w:r w:rsidR="006D7E07">
              <w:rPr>
                <w:lang w:val="en-US"/>
              </w:rPr>
              <w:t>F</w:t>
            </w:r>
            <w:r w:rsidR="003D0416" w:rsidRPr="00314A1B">
              <w:rPr>
                <w:lang w:val="en-US"/>
              </w:rPr>
              <w:t xml:space="preserve"> 4</w:t>
            </w:r>
            <w:r w:rsidR="00314A1B" w:rsidRPr="00314A1B">
              <w:rPr>
                <w:lang w:val="en-US"/>
              </w:rPr>
              <w:t>, T</w:t>
            </w:r>
            <w:r w:rsidR="006D7E07">
              <w:rPr>
                <w:lang w:val="en-US"/>
              </w:rPr>
              <w:t xml:space="preserve">F </w:t>
            </w:r>
            <w:r w:rsidR="00314A1B" w:rsidRPr="00314A1B">
              <w:rPr>
                <w:lang w:val="en-US"/>
              </w:rPr>
              <w:t>5, T</w:t>
            </w:r>
            <w:r w:rsidR="006D7E07">
              <w:rPr>
                <w:lang w:val="en-US"/>
              </w:rPr>
              <w:t xml:space="preserve">F </w:t>
            </w:r>
            <w:r w:rsidR="00314A1B" w:rsidRPr="00314A1B">
              <w:rPr>
                <w:lang w:val="en-US"/>
              </w:rPr>
              <w:t>6, T</w:t>
            </w:r>
            <w:r w:rsidR="006D7E07">
              <w:rPr>
                <w:lang w:val="en-US"/>
              </w:rPr>
              <w:t>F</w:t>
            </w:r>
            <w:r w:rsidR="00314A1B" w:rsidRPr="00314A1B">
              <w:rPr>
                <w:lang w:val="en-US"/>
              </w:rPr>
              <w:t xml:space="preserve"> 15, T</w:t>
            </w:r>
            <w:r w:rsidR="006D7E07">
              <w:rPr>
                <w:lang w:val="en-US"/>
              </w:rPr>
              <w:t>F</w:t>
            </w:r>
            <w:r w:rsidR="00314A1B" w:rsidRPr="00314A1B">
              <w:rPr>
                <w:lang w:val="en-US"/>
              </w:rPr>
              <w:t xml:space="preserve"> 14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9648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E9648D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314A1B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E9648D" w:rsidP="00E9648D">
            <w:pPr>
              <w:spacing w:before="200" w:after="200"/>
            </w:pPr>
            <w:r>
              <w:t>Basiskonzept, Modellvorstellung, Theorie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03B35" w:rsidRPr="00B03B35" w:rsidRDefault="00B03B35" w:rsidP="00B03B35">
      <w:pPr>
        <w:spacing w:after="60"/>
        <w:rPr>
          <w:b/>
        </w:rPr>
      </w:pPr>
      <w:r w:rsidRPr="00B03B35">
        <w:rPr>
          <w:b/>
        </w:rPr>
        <w:t>Basiskonzepte</w:t>
      </w:r>
    </w:p>
    <w:p w:rsidR="00B03B35" w:rsidRPr="00B03B35" w:rsidRDefault="00B03B35" w:rsidP="00B03B35">
      <w:pPr>
        <w:spacing w:after="60" w:line="240" w:lineRule="auto"/>
        <w:jc w:val="both"/>
      </w:pPr>
      <w:r w:rsidRPr="00B03B35">
        <w:t>Basiskonzept</w:t>
      </w:r>
      <w:r>
        <w:t>e</w:t>
      </w:r>
      <w:r w:rsidRPr="00B03B35">
        <w:t xml:space="preserve"> </w:t>
      </w:r>
      <w:r>
        <w:t xml:space="preserve">sind </w:t>
      </w:r>
      <w:r w:rsidRPr="00B03B35">
        <w:t>strukturierte Vernetzung</w:t>
      </w:r>
      <w:r>
        <w:t>en</w:t>
      </w:r>
      <w:r w:rsidRPr="00B03B35">
        <w:t xml:space="preserve"> aufeinander bezogener</w:t>
      </w:r>
      <w:r>
        <w:t>,</w:t>
      </w:r>
      <w:r w:rsidRPr="00B03B35">
        <w:t xml:space="preserve"> naturwissenschaftl</w:t>
      </w:r>
      <w:r w:rsidRPr="00B03B35">
        <w:t>i</w:t>
      </w:r>
      <w:r w:rsidRPr="00B03B35">
        <w:t xml:space="preserve">cher Begriffe, Theorien und Modellvorstellungen, die </w:t>
      </w:r>
      <w:r>
        <w:t xml:space="preserve">für die </w:t>
      </w:r>
      <w:r w:rsidRPr="00B03B35">
        <w:t xml:space="preserve">Systematik eines Faches zur Beschreibung </w:t>
      </w:r>
      <w:r>
        <w:t xml:space="preserve"> von </w:t>
      </w:r>
      <w:r w:rsidRPr="00B03B35">
        <w:t>Prozesse</w:t>
      </w:r>
      <w:r>
        <w:t>n</w:t>
      </w:r>
      <w:r w:rsidRPr="00B03B35">
        <w:t xml:space="preserve"> und Phänomene</w:t>
      </w:r>
      <w:r>
        <w:t>n hilfreich sind.</w:t>
      </w:r>
    </w:p>
    <w:p w:rsidR="006273F1" w:rsidRPr="003D0416" w:rsidRDefault="006273F1" w:rsidP="00B03B35">
      <w:pPr>
        <w:spacing w:after="60"/>
        <w:jc w:val="both"/>
        <w:rPr>
          <w:b/>
        </w:rPr>
      </w:pPr>
      <w:r w:rsidRPr="003D0416">
        <w:rPr>
          <w:b/>
        </w:rPr>
        <w:t>Aufgabe:</w:t>
      </w:r>
    </w:p>
    <w:p w:rsidR="006273F1" w:rsidRPr="00D73FBD" w:rsidRDefault="006273F1" w:rsidP="00B03B35">
      <w:pPr>
        <w:spacing w:after="60" w:line="240" w:lineRule="auto"/>
        <w:jc w:val="both"/>
      </w:pPr>
      <w:r w:rsidRPr="00B03B35">
        <w:t>Ordne die beschrieben</w:t>
      </w:r>
      <w:r w:rsidR="00FC7E83">
        <w:t>en</w:t>
      </w:r>
      <w:r w:rsidRPr="00B03B35">
        <w:t xml:space="preserve"> naturwissenschaftlichen Inhalte </w:t>
      </w:r>
      <w:r w:rsidR="00B03B35" w:rsidRPr="00B03B35">
        <w:t xml:space="preserve">(1. – 8.) </w:t>
      </w:r>
      <w:r w:rsidRPr="00B03B35">
        <w:t>einem naturwissenschaf</w:t>
      </w:r>
      <w:r w:rsidRPr="00B03B35">
        <w:t>t</w:t>
      </w:r>
      <w:r w:rsidRPr="00B03B35">
        <w:t>lichen</w:t>
      </w:r>
      <w:r>
        <w:t xml:space="preserve"> Basiskonzept</w:t>
      </w:r>
      <w:r w:rsidR="00B03B35">
        <w:t xml:space="preserve"> (A – H)</w:t>
      </w:r>
      <w:r>
        <w:t xml:space="preserve"> zu</w:t>
      </w:r>
      <w:r w:rsidR="00B03B35">
        <w:t>.</w:t>
      </w:r>
      <w:r>
        <w:t xml:space="preserve"> M</w:t>
      </w:r>
      <w:r w:rsidR="00775E13">
        <w:t>ehrfachzuordnungen</w:t>
      </w:r>
      <w:r w:rsidR="00B03B35">
        <w:t xml:space="preserve"> </w:t>
      </w:r>
      <w:r w:rsidR="00775E13">
        <w:t>sind möglich.</w:t>
      </w:r>
    </w:p>
    <w:tbl>
      <w:tblPr>
        <w:tblStyle w:val="Tabellengitternetz"/>
        <w:tblW w:w="0" w:type="auto"/>
        <w:tblLook w:val="04A0"/>
      </w:tblPr>
      <w:tblGrid>
        <w:gridCol w:w="4361"/>
        <w:gridCol w:w="283"/>
        <w:gridCol w:w="4642"/>
      </w:tblGrid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273F1" w:rsidRPr="00AC62B4" w:rsidRDefault="006273F1" w:rsidP="008A106A">
            <w:pPr>
              <w:rPr>
                <w:rFonts w:cs="Arial"/>
                <w:b/>
                <w:sz w:val="20"/>
                <w:szCs w:val="20"/>
              </w:rPr>
            </w:pPr>
            <w:r w:rsidRPr="00AC62B4">
              <w:rPr>
                <w:rFonts w:cs="Arial"/>
                <w:b/>
                <w:sz w:val="20"/>
                <w:szCs w:val="20"/>
              </w:rPr>
              <w:t>naturwissenschaftlicher Inhalt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8A106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</w:rPr>
              <w:t>Basiskonzept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6273F1" w:rsidP="008A106A">
            <w:pPr>
              <w:pStyle w:val="Listenabsatz"/>
              <w:numPr>
                <w:ilvl w:val="0"/>
                <w:numId w:val="14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>Lebensmittel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 enthalten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 die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 Grundnährsto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>f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>fe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 Fett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>, Kohlenhydrat</w:t>
            </w:r>
            <w:r w:rsidR="005C4372" w:rsidRPr="008A106A">
              <w:rPr>
                <w:rFonts w:eastAsia="Times New Roman" w:cs="Arial"/>
                <w:sz w:val="20"/>
                <w:szCs w:val="20"/>
                <w:lang w:eastAsia="de-DE"/>
              </w:rPr>
              <w:t>e und Eiweiße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se Stoffe 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>sorgen für die Lebens- und Lei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CE559E" w:rsidRPr="008A106A">
              <w:rPr>
                <w:rFonts w:eastAsia="Times New Roman" w:cs="Arial"/>
                <w:sz w:val="20"/>
                <w:szCs w:val="20"/>
                <w:lang w:eastAsia="de-DE"/>
              </w:rPr>
              <w:t xml:space="preserve">tungsfähigkeit des menschlichen Körpers. 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Stoff-Teilchen-Konzept</w:t>
            </w:r>
          </w:p>
          <w:p w:rsidR="00AC62B4" w:rsidRPr="00B84C14" w:rsidRDefault="00AC62B4" w:rsidP="008A106A">
            <w:pPr>
              <w:pStyle w:val="Listenabsatz"/>
              <w:spacing w:line="240" w:lineRule="auto"/>
              <w:ind w:left="32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Die erfahrbaren Phänomene der stofflichen Welt und deren Deutung auf Teilchenebene werden konsequent unterschieden.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6273F1" w:rsidP="008A106A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 xml:space="preserve">Die Vorfahren </w:t>
            </w:r>
            <w:r w:rsidR="00CE559E" w:rsidRPr="008A106A">
              <w:rPr>
                <w:rFonts w:cs="Arial"/>
                <w:sz w:val="20"/>
                <w:szCs w:val="20"/>
              </w:rPr>
              <w:t>der</w:t>
            </w:r>
            <w:r w:rsidRPr="008A106A">
              <w:rPr>
                <w:rFonts w:cs="Arial"/>
                <w:sz w:val="20"/>
                <w:szCs w:val="20"/>
              </w:rPr>
              <w:t xml:space="preserve"> Vögel sind die Dinosa</w:t>
            </w:r>
            <w:r w:rsidRPr="008A106A">
              <w:rPr>
                <w:rFonts w:cs="Arial"/>
                <w:sz w:val="20"/>
                <w:szCs w:val="20"/>
              </w:rPr>
              <w:t>u</w:t>
            </w:r>
            <w:r w:rsidRPr="008A106A">
              <w:rPr>
                <w:rFonts w:cs="Arial"/>
                <w:sz w:val="20"/>
                <w:szCs w:val="20"/>
              </w:rPr>
              <w:t>rier.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AC62B4" w:rsidRPr="00B84C14" w:rsidRDefault="006273F1" w:rsidP="00B84C14">
            <w:pPr>
              <w:pStyle w:val="Listenabsatz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18" w:hanging="18"/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Energie-Konzept</w:t>
            </w:r>
            <w:r w:rsidRPr="00B84C14">
              <w:rPr>
                <w:rFonts w:eastAsia="Times New Roman" w:cs="Arial"/>
                <w:b/>
                <w:color w:val="632423" w:themeColor="accent2" w:themeShade="80"/>
                <w:sz w:val="20"/>
                <w:szCs w:val="20"/>
                <w:lang w:eastAsia="de-DE"/>
              </w:rPr>
              <w:br/>
            </w:r>
            <w:r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>Energie wird in unterschiedlichen Energieträgern gespeichert. Aus den Energieträgern kann die Energie freigesetzt werden. Dabei sind unte</w:t>
            </w:r>
            <w:r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>r</w:t>
            </w:r>
            <w:r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>schiedliche Energieformen möglich</w:t>
            </w:r>
            <w:r w:rsidR="00AC62B4"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>,</w:t>
            </w:r>
            <w:r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 xml:space="preserve"> die ineina</w:t>
            </w:r>
            <w:r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>n</w:t>
            </w:r>
            <w:r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>der umgewandelt werden können. Die Energie befindet sich dabei in einem Energiefluss.</w:t>
            </w:r>
            <w:r w:rsidR="008A106A" w:rsidRPr="00B84C14">
              <w:rPr>
                <w:rFonts w:eastAsia="Times New Roman" w:cs="Arial"/>
                <w:color w:val="632423" w:themeColor="accent2" w:themeShade="80"/>
                <w:sz w:val="20"/>
                <w:szCs w:val="20"/>
                <w:lang w:eastAsia="de-DE"/>
              </w:rPr>
              <w:t xml:space="preserve"> 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Alle chemischen Reaktionen sind mit Energieumsä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t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zen verbunden.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6273F1" w:rsidP="008A106A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>Metall</w:t>
            </w:r>
            <w:r w:rsidR="00CE559E" w:rsidRPr="008A106A">
              <w:rPr>
                <w:rFonts w:cs="Arial"/>
                <w:sz w:val="20"/>
                <w:szCs w:val="20"/>
              </w:rPr>
              <w:t>e</w:t>
            </w:r>
            <w:r w:rsidRPr="008A106A">
              <w:rPr>
                <w:rFonts w:cs="Arial"/>
                <w:sz w:val="20"/>
                <w:szCs w:val="20"/>
              </w:rPr>
              <w:t xml:space="preserve"> l</w:t>
            </w:r>
            <w:r w:rsidR="00CE559E" w:rsidRPr="008A106A">
              <w:rPr>
                <w:rFonts w:cs="Arial"/>
                <w:sz w:val="20"/>
                <w:szCs w:val="20"/>
              </w:rPr>
              <w:t>a</w:t>
            </w:r>
            <w:r w:rsidRPr="008A106A">
              <w:rPr>
                <w:rFonts w:cs="Arial"/>
                <w:sz w:val="20"/>
                <w:szCs w:val="20"/>
              </w:rPr>
              <w:t>ss</w:t>
            </w:r>
            <w:r w:rsidR="00CE559E" w:rsidRPr="008A106A">
              <w:rPr>
                <w:rFonts w:cs="Arial"/>
                <w:sz w:val="20"/>
                <w:szCs w:val="20"/>
              </w:rPr>
              <w:t>en</w:t>
            </w:r>
            <w:r w:rsidRPr="008A106A">
              <w:rPr>
                <w:rFonts w:cs="Arial"/>
                <w:sz w:val="20"/>
                <w:szCs w:val="20"/>
              </w:rPr>
              <w:t xml:space="preserve"> sich</w:t>
            </w:r>
            <w:r w:rsidR="00CE559E" w:rsidRPr="008A106A">
              <w:rPr>
                <w:rFonts w:cs="Arial"/>
                <w:sz w:val="20"/>
                <w:szCs w:val="20"/>
              </w:rPr>
              <w:t xml:space="preserve"> unter Krafteinwirkung</w:t>
            </w:r>
            <w:r w:rsidRPr="008A106A">
              <w:rPr>
                <w:rFonts w:cs="Arial"/>
                <w:sz w:val="20"/>
                <w:szCs w:val="20"/>
              </w:rPr>
              <w:t xml:space="preserve"> verbiegen und Salzkristalle zerbrechen.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Konzept der chemischen Reaktion</w:t>
            </w:r>
          </w:p>
          <w:p w:rsidR="00AC62B4" w:rsidRPr="00B84C14" w:rsidRDefault="00AC62B4" w:rsidP="008A106A">
            <w:pPr>
              <w:pStyle w:val="Listenabsatz"/>
              <w:spacing w:line="240" w:lineRule="auto"/>
              <w:ind w:left="34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Bei chemischen Reaktionen werden Stoffe sowie die Art, Anordnung und Wechselwirkung der Tei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l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chen verändert.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6273F1" w:rsidP="00FC7E83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>Der Aufbau des menschlichen Armes aus Knochen, Gelenken, Muskeln etc. ermö</w:t>
            </w:r>
            <w:r w:rsidRPr="008A106A">
              <w:rPr>
                <w:rFonts w:cs="Arial"/>
                <w:sz w:val="20"/>
                <w:szCs w:val="20"/>
              </w:rPr>
              <w:t>g</w:t>
            </w:r>
            <w:r w:rsidRPr="008A106A">
              <w:rPr>
                <w:rFonts w:cs="Arial"/>
                <w:sz w:val="20"/>
                <w:szCs w:val="20"/>
              </w:rPr>
              <w:t>licht vielfältige Bewegungen.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Struktur-Eigenschafts-Konzept</w:t>
            </w:r>
          </w:p>
          <w:p w:rsidR="00AC62B4" w:rsidRPr="00B84C14" w:rsidRDefault="006273F1" w:rsidP="008A106A">
            <w:pPr>
              <w:pStyle w:val="Listenabsatz"/>
              <w:spacing w:line="240" w:lineRule="auto"/>
              <w:ind w:left="34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Art, Anordnung und Wechselwirkung der Tei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l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chen bestimmen die Eigenschaften eines Stoffes.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D63AD2" w:rsidP="008A106A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>Eisen</w:t>
            </w:r>
            <w:r w:rsidR="00CE559E" w:rsidRPr="008A106A">
              <w:rPr>
                <w:rFonts w:cs="Arial"/>
                <w:sz w:val="20"/>
                <w:szCs w:val="20"/>
              </w:rPr>
              <w:t>,</w:t>
            </w:r>
            <w:r w:rsidRPr="008A106A">
              <w:rPr>
                <w:rFonts w:cs="Arial"/>
                <w:sz w:val="20"/>
                <w:szCs w:val="20"/>
              </w:rPr>
              <w:t xml:space="preserve"> das lange im Feien liegt</w:t>
            </w:r>
            <w:r w:rsidR="00CE559E" w:rsidRPr="008A106A">
              <w:rPr>
                <w:rFonts w:cs="Arial"/>
                <w:sz w:val="20"/>
                <w:szCs w:val="20"/>
              </w:rPr>
              <w:t>,</w:t>
            </w:r>
            <w:r w:rsidR="006273F1" w:rsidRPr="008A106A">
              <w:rPr>
                <w:rFonts w:cs="Arial"/>
                <w:sz w:val="20"/>
                <w:szCs w:val="20"/>
              </w:rPr>
              <w:t xml:space="preserve"> verrostet.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Wechselwirkungs-Konzept</w:t>
            </w:r>
          </w:p>
          <w:p w:rsidR="00AC62B4" w:rsidRPr="00B84C14" w:rsidRDefault="00BB43FD" w:rsidP="008A106A">
            <w:pPr>
              <w:pStyle w:val="Listenabsatz"/>
              <w:spacing w:line="240" w:lineRule="auto"/>
              <w:ind w:left="34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Objekte</w:t>
            </w:r>
            <w:r w:rsidR="006273F1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stehen in gegenseitige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r</w:t>
            </w:r>
            <w:r w:rsidR="006273F1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Wechselwirkung</w:t>
            </w:r>
            <w:r w:rsidR="006273F1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zu</w:t>
            </w:r>
            <w:r w:rsidR="006273F1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einander und beeinflussen sich somit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. </w:t>
            </w:r>
            <w:r w:rsidR="00AC62B4" w:rsidRPr="00B84C14">
              <w:rPr>
                <w:color w:val="632423" w:themeColor="accent2" w:themeShade="80"/>
                <w:sz w:val="20"/>
                <w:szCs w:val="20"/>
              </w:rPr>
              <w:t>Zusa</w:t>
            </w:r>
            <w:r w:rsidR="00AC62B4" w:rsidRPr="00B84C14">
              <w:rPr>
                <w:color w:val="632423" w:themeColor="accent2" w:themeShade="80"/>
                <w:sz w:val="20"/>
                <w:szCs w:val="20"/>
              </w:rPr>
              <w:t>m</w:t>
            </w:r>
            <w:r w:rsidR="00AC62B4" w:rsidRPr="00B84C14">
              <w:rPr>
                <w:color w:val="632423" w:themeColor="accent2" w:themeShade="80"/>
                <w:sz w:val="20"/>
                <w:szCs w:val="20"/>
              </w:rPr>
              <w:t xml:space="preserve">menhänge zwischen Ursachen und Wirkungen werden über Wechselwirkungen </w:t>
            </w:r>
            <w:r w:rsidRPr="00B84C14">
              <w:rPr>
                <w:color w:val="632423" w:themeColor="accent2" w:themeShade="80"/>
                <w:sz w:val="20"/>
                <w:szCs w:val="20"/>
              </w:rPr>
              <w:t>zwischen Obje</w:t>
            </w:r>
            <w:r w:rsidRPr="00B84C14">
              <w:rPr>
                <w:color w:val="632423" w:themeColor="accent2" w:themeShade="80"/>
                <w:sz w:val="20"/>
                <w:szCs w:val="20"/>
              </w:rPr>
              <w:t>k</w:t>
            </w:r>
            <w:r w:rsidRPr="00B84C14">
              <w:rPr>
                <w:color w:val="632423" w:themeColor="accent2" w:themeShade="80"/>
                <w:sz w:val="20"/>
                <w:szCs w:val="20"/>
              </w:rPr>
              <w:t>ten erklärt.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6273F1" w:rsidP="008A106A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>Ein großer Salzkristall löst sich langsam in Leitungswasser auf.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Entwicklungs-Konzept</w:t>
            </w:r>
          </w:p>
          <w:p w:rsidR="00AC62B4" w:rsidRPr="00B84C14" w:rsidRDefault="00AC62B4" w:rsidP="008A106A">
            <w:pPr>
              <w:pStyle w:val="Listenabsatz"/>
              <w:spacing w:line="240" w:lineRule="auto"/>
              <w:ind w:left="34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Lebendige Systeme verändern sich. Sie sind durch Entwicklung gekennzeichnet. Dabei we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r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den Individualentwicklung und evolutionäre En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t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wicklung unterschieden.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D63AD2" w:rsidP="008A106A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>Durch optische Linsen lassen sich sehr weit entfernte</w:t>
            </w:r>
            <w:r w:rsidR="00CE559E" w:rsidRPr="008A106A">
              <w:rPr>
                <w:rFonts w:cs="Arial"/>
                <w:sz w:val="20"/>
                <w:szCs w:val="20"/>
              </w:rPr>
              <w:t>,</w:t>
            </w:r>
            <w:r w:rsidRPr="008A106A">
              <w:rPr>
                <w:rFonts w:cs="Arial"/>
                <w:sz w:val="20"/>
                <w:szCs w:val="20"/>
              </w:rPr>
              <w:t xml:space="preserve"> aber auch sehr kleine O</w:t>
            </w:r>
            <w:r w:rsidRPr="008A106A">
              <w:rPr>
                <w:rFonts w:cs="Arial"/>
                <w:sz w:val="20"/>
                <w:szCs w:val="20"/>
              </w:rPr>
              <w:t>b</w:t>
            </w:r>
            <w:r w:rsidRPr="008A106A">
              <w:rPr>
                <w:rFonts w:cs="Arial"/>
                <w:sz w:val="20"/>
                <w:szCs w:val="20"/>
              </w:rPr>
              <w:t>jekte genau</w:t>
            </w:r>
            <w:r w:rsidR="00CE559E" w:rsidRPr="008A106A">
              <w:rPr>
                <w:rFonts w:cs="Arial"/>
                <w:sz w:val="20"/>
                <w:szCs w:val="20"/>
              </w:rPr>
              <w:t>er</w:t>
            </w:r>
            <w:r w:rsidRPr="008A106A">
              <w:rPr>
                <w:rFonts w:cs="Arial"/>
                <w:sz w:val="20"/>
                <w:szCs w:val="20"/>
              </w:rPr>
              <w:t xml:space="preserve"> betrachten.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Struktur-Funktions-Konzept</w:t>
            </w:r>
          </w:p>
          <w:p w:rsidR="00AC62B4" w:rsidRPr="00B84C14" w:rsidRDefault="006273F1" w:rsidP="00FC7E83">
            <w:pPr>
              <w:pStyle w:val="Listenabsatz"/>
              <w:spacing w:line="240" w:lineRule="auto"/>
              <w:ind w:left="34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Das Erfassen</w:t>
            </w:r>
            <w:r w:rsidR="00BB43FD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und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Ordnen von Strukturen </w:t>
            </w:r>
            <w:r w:rsidR="00BB43FD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ist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die Grundlage für das Umgehen mit der </w:t>
            </w:r>
            <w:r w:rsidR="00044AAF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natürlichen 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Vielfalt auf der Erde. Erst die Kenntnis von Stru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k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turen ermöglicht die Erklärung von Funktionen einzelner Bausteine auf allen Systemebenen.</w:t>
            </w:r>
          </w:p>
        </w:tc>
      </w:tr>
      <w:tr w:rsidR="006273F1" w:rsidRPr="00AC62B4" w:rsidTr="00B03B35">
        <w:tc>
          <w:tcPr>
            <w:tcW w:w="4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273F1" w:rsidRPr="008A106A" w:rsidRDefault="008A106A" w:rsidP="00B03B35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A106A">
              <w:rPr>
                <w:rFonts w:cs="Arial"/>
                <w:sz w:val="20"/>
                <w:szCs w:val="20"/>
              </w:rPr>
              <w:t>Zwischen p</w:t>
            </w:r>
            <w:r w:rsidR="00CE559E" w:rsidRPr="008A106A">
              <w:rPr>
                <w:rFonts w:cs="Arial"/>
                <w:sz w:val="20"/>
                <w:szCs w:val="20"/>
              </w:rPr>
              <w:t>ositiv geladene</w:t>
            </w:r>
            <w:r w:rsidRPr="008A106A">
              <w:rPr>
                <w:rFonts w:cs="Arial"/>
                <w:sz w:val="20"/>
                <w:szCs w:val="20"/>
              </w:rPr>
              <w:t>n</w:t>
            </w:r>
            <w:r w:rsidR="00CE559E" w:rsidRPr="008A106A">
              <w:rPr>
                <w:rFonts w:cs="Arial"/>
                <w:sz w:val="20"/>
                <w:szCs w:val="20"/>
              </w:rPr>
              <w:t xml:space="preserve"> </w:t>
            </w:r>
            <w:r w:rsidRPr="008A106A">
              <w:rPr>
                <w:rFonts w:cs="Arial"/>
                <w:sz w:val="20"/>
                <w:szCs w:val="20"/>
              </w:rPr>
              <w:t>Ionen (Kati</w:t>
            </w:r>
            <w:r w:rsidRPr="008A106A">
              <w:rPr>
                <w:rFonts w:cs="Arial"/>
                <w:sz w:val="20"/>
                <w:szCs w:val="20"/>
              </w:rPr>
              <w:t>o</w:t>
            </w:r>
            <w:r w:rsidRPr="008A106A">
              <w:rPr>
                <w:rFonts w:cs="Arial"/>
                <w:sz w:val="20"/>
                <w:szCs w:val="20"/>
              </w:rPr>
              <w:t>nen)  und negativ geladenen Ionen (Ani</w:t>
            </w:r>
            <w:r w:rsidRPr="008A106A">
              <w:rPr>
                <w:rFonts w:cs="Arial"/>
                <w:sz w:val="20"/>
                <w:szCs w:val="20"/>
              </w:rPr>
              <w:t>o</w:t>
            </w:r>
            <w:r w:rsidRPr="008A106A">
              <w:rPr>
                <w:rFonts w:cs="Arial"/>
                <w:sz w:val="20"/>
                <w:szCs w:val="20"/>
              </w:rPr>
              <w:t>nen) bestehen Anziehungskräfte.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D99594" w:themeColor="accent2" w:themeTint="99"/>
            </w:tcBorders>
          </w:tcPr>
          <w:p w:rsidR="006273F1" w:rsidRPr="00AC62B4" w:rsidRDefault="006273F1" w:rsidP="003C677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F2DBDB" w:themeFill="accent2" w:themeFillTint="33"/>
          </w:tcPr>
          <w:p w:rsidR="006273F1" w:rsidRPr="00B84C14" w:rsidRDefault="006273F1" w:rsidP="008A106A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</w:pPr>
            <w:r w:rsidRPr="00B84C14">
              <w:rPr>
                <w:rFonts w:cs="Arial"/>
                <w:b/>
                <w:color w:val="632423" w:themeColor="accent2" w:themeShade="80"/>
                <w:sz w:val="20"/>
                <w:szCs w:val="20"/>
                <w:u w:val="single"/>
              </w:rPr>
              <w:t>System-Konzept</w:t>
            </w:r>
          </w:p>
          <w:p w:rsidR="00AC62B4" w:rsidRPr="00B84C14" w:rsidRDefault="006273F1" w:rsidP="008A106A">
            <w:pPr>
              <w:pStyle w:val="Listenabsatz"/>
              <w:spacing w:line="240" w:lineRule="auto"/>
              <w:ind w:left="34"/>
              <w:rPr>
                <w:rFonts w:cs="Arial"/>
                <w:color w:val="632423" w:themeColor="accent2" w:themeShade="80"/>
                <w:sz w:val="20"/>
                <w:szCs w:val="20"/>
              </w:rPr>
            </w:pP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Teile eines Ganzen stehen in einem systemat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i</w:t>
            </w:r>
            <w:r w:rsidR="005C4372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schen Zusammenhang zu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einander und sind vo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n</w:t>
            </w:r>
            <w:r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einander abhängig.</w:t>
            </w:r>
            <w:r w:rsidR="008A106A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Zelle, Organismus, Ökosy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s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tem, Biosphäre</w:t>
            </w:r>
            <w:r w:rsidR="00044AAF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werden als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 xml:space="preserve"> </w:t>
            </w:r>
            <w:r w:rsidR="00044AAF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lebende  Systeme betrachtet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. Dabei sind Systeme nicht starr, so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n</w:t>
            </w:r>
            <w:r w:rsidR="00AC62B4" w:rsidRPr="00B84C14">
              <w:rPr>
                <w:rFonts w:cs="Arial"/>
                <w:color w:val="632423" w:themeColor="accent2" w:themeShade="80"/>
                <w:sz w:val="20"/>
                <w:szCs w:val="20"/>
              </w:rPr>
              <w:t>dern entwickeln sich und weisen bestimmte Struktur- und Funktionszusammenhänge auf.</w:t>
            </w:r>
          </w:p>
        </w:tc>
      </w:tr>
    </w:tbl>
    <w:p w:rsidR="00110153" w:rsidRDefault="00110153" w:rsidP="004F3656">
      <w:pPr>
        <w:rPr>
          <w:noProof/>
          <w:lang w:eastAsia="de-DE"/>
        </w:rPr>
      </w:pPr>
    </w:p>
    <w:p w:rsidR="00F5187C" w:rsidRPr="008A1768" w:rsidRDefault="00B03B35" w:rsidP="004F3656">
      <w:r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B84C14" w:rsidRDefault="00B84C14" w:rsidP="00B84C14">
      <w:pPr>
        <w:spacing w:after="60" w:line="240" w:lineRule="auto"/>
        <w:jc w:val="both"/>
      </w:pPr>
    </w:p>
    <w:p w:rsidR="00B84C14" w:rsidRPr="00D73FBD" w:rsidRDefault="00B84C14" w:rsidP="00B84C14">
      <w:pPr>
        <w:spacing w:after="60" w:line="240" w:lineRule="auto"/>
        <w:jc w:val="both"/>
      </w:pPr>
      <w:r w:rsidRPr="00B03B35">
        <w:t>Ordne die beschrieben</w:t>
      </w:r>
      <w:r w:rsidR="00FC7E83">
        <w:t>en</w:t>
      </w:r>
      <w:r w:rsidRPr="00B03B35">
        <w:t xml:space="preserve"> naturwissenschaftlichen Inhalte (1. – 8.) einem naturwissenschaf</w:t>
      </w:r>
      <w:r w:rsidRPr="00B03B35">
        <w:t>t</w:t>
      </w:r>
      <w:r w:rsidRPr="00B03B35">
        <w:t>lichen</w:t>
      </w:r>
      <w:r>
        <w:t xml:space="preserve"> Basiskonzept (A – H) zu. Mehrfachzuordnungen sind möglich.</w:t>
      </w:r>
    </w:p>
    <w:p w:rsidR="006273F1" w:rsidRDefault="006273F1" w:rsidP="00BF22FF">
      <w:pPr>
        <w:spacing w:before="60" w:after="60"/>
        <w:rPr>
          <w:b/>
        </w:rPr>
      </w:pPr>
    </w:p>
    <w:p w:rsidR="00B84C14" w:rsidRDefault="00B03B35" w:rsidP="00B03B35">
      <w:pPr>
        <w:spacing w:before="60" w:after="60"/>
        <w:rPr>
          <w:b/>
        </w:rPr>
      </w:pPr>
      <w:r>
        <w:rPr>
          <w:b/>
        </w:rPr>
        <w:t xml:space="preserve">1. </w:t>
      </w:r>
      <w:r w:rsidR="00B84C14">
        <w:rPr>
          <w:b/>
        </w:rPr>
        <w:t>–</w:t>
      </w:r>
      <w:r>
        <w:rPr>
          <w:b/>
        </w:rPr>
        <w:t xml:space="preserve"> B</w:t>
      </w:r>
    </w:p>
    <w:p w:rsidR="00B84C14" w:rsidRDefault="00FC7E83" w:rsidP="00B03B35">
      <w:pPr>
        <w:spacing w:before="60" w:after="60"/>
        <w:rPr>
          <w:b/>
        </w:rPr>
      </w:pPr>
      <w:r>
        <w:rPr>
          <w:b/>
        </w:rPr>
        <w:t>2. – F</w:t>
      </w:r>
    </w:p>
    <w:p w:rsidR="00B84C14" w:rsidRDefault="00FC7E83" w:rsidP="00B03B35">
      <w:pPr>
        <w:spacing w:before="60" w:after="60"/>
        <w:rPr>
          <w:b/>
        </w:rPr>
      </w:pPr>
      <w:r>
        <w:rPr>
          <w:b/>
        </w:rPr>
        <w:t>3. – D</w:t>
      </w:r>
    </w:p>
    <w:p w:rsidR="00B84C14" w:rsidRDefault="00FC7E83" w:rsidP="00B03B35">
      <w:pPr>
        <w:spacing w:before="60" w:after="60"/>
        <w:rPr>
          <w:b/>
        </w:rPr>
      </w:pPr>
      <w:r>
        <w:rPr>
          <w:b/>
        </w:rPr>
        <w:t>4. – G, H</w:t>
      </w:r>
    </w:p>
    <w:p w:rsidR="00B84C14" w:rsidRDefault="00FC7E83" w:rsidP="00B03B35">
      <w:pPr>
        <w:spacing w:before="60" w:after="60"/>
        <w:rPr>
          <w:b/>
        </w:rPr>
      </w:pPr>
      <w:r>
        <w:rPr>
          <w:b/>
        </w:rPr>
        <w:t>5. – C</w:t>
      </w:r>
    </w:p>
    <w:p w:rsidR="00B84C14" w:rsidRDefault="00FC7E83" w:rsidP="00B03B35">
      <w:pPr>
        <w:spacing w:before="60" w:after="60"/>
        <w:rPr>
          <w:b/>
        </w:rPr>
      </w:pPr>
      <w:r>
        <w:rPr>
          <w:b/>
        </w:rPr>
        <w:t>6. – A</w:t>
      </w:r>
    </w:p>
    <w:p w:rsidR="00B84C14" w:rsidRDefault="00FC7E83" w:rsidP="00B03B35">
      <w:pPr>
        <w:spacing w:before="60" w:after="60"/>
        <w:rPr>
          <w:b/>
        </w:rPr>
      </w:pPr>
      <w:r>
        <w:rPr>
          <w:b/>
        </w:rPr>
        <w:t>7. – H</w:t>
      </w:r>
    </w:p>
    <w:p w:rsidR="00B03B35" w:rsidRDefault="00B84C14" w:rsidP="00B03B35">
      <w:pPr>
        <w:spacing w:before="60" w:after="60"/>
        <w:rPr>
          <w:b/>
        </w:rPr>
      </w:pPr>
      <w:r>
        <w:rPr>
          <w:b/>
        </w:rPr>
        <w:t xml:space="preserve">8. – E </w:t>
      </w:r>
    </w:p>
    <w:p w:rsidR="006273F1" w:rsidRDefault="006273F1" w:rsidP="003D0416">
      <w:pPr>
        <w:jc w:val="both"/>
      </w:pPr>
    </w:p>
    <w:p w:rsidR="00110153" w:rsidRDefault="00110153" w:rsidP="003D0416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110153" w:rsidRDefault="00110153" w:rsidP="00110153">
      <w:pPr>
        <w:jc w:val="both"/>
      </w:pPr>
    </w:p>
    <w:p w:rsidR="00B84C14" w:rsidRPr="00110153" w:rsidRDefault="00110153" w:rsidP="00110153">
      <w:pPr>
        <w:jc w:val="both"/>
      </w:pPr>
      <w:r w:rsidRPr="00110153">
        <w:rPr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5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84C14" w:rsidRPr="00110153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8D" w:rsidRDefault="007D5F8D" w:rsidP="00837EC7">
      <w:pPr>
        <w:spacing w:line="240" w:lineRule="auto"/>
      </w:pPr>
      <w:r>
        <w:separator/>
      </w:r>
    </w:p>
  </w:endnote>
  <w:endnote w:type="continuationSeparator" w:id="0">
    <w:p w:rsidR="007D5F8D" w:rsidRDefault="007D5F8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0E5D89">
      <w:fldChar w:fldCharType="begin"/>
    </w:r>
    <w:r w:rsidR="007C44B9">
      <w:instrText xml:space="preserve"> PAGE   \* MERGEFORMAT </w:instrText>
    </w:r>
    <w:r w:rsidR="000E5D89">
      <w:fldChar w:fldCharType="separate"/>
    </w:r>
    <w:r w:rsidR="007F6F43">
      <w:rPr>
        <w:noProof/>
      </w:rPr>
      <w:t>1</w:t>
    </w:r>
    <w:r w:rsidR="000E5D8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0E5D89">
      <w:fldChar w:fldCharType="begin"/>
    </w:r>
    <w:r w:rsidR="007C44B9">
      <w:instrText xml:space="preserve"> PAGE   \* MERGEFORMAT </w:instrText>
    </w:r>
    <w:r w:rsidR="000E5D89">
      <w:fldChar w:fldCharType="separate"/>
    </w:r>
    <w:r w:rsidR="007F6F43">
      <w:rPr>
        <w:noProof/>
      </w:rPr>
      <w:t>2</w:t>
    </w:r>
    <w:r w:rsidR="000E5D8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8D" w:rsidRDefault="007D5F8D" w:rsidP="00837EC7">
      <w:pPr>
        <w:spacing w:line="240" w:lineRule="auto"/>
      </w:pPr>
      <w:r>
        <w:separator/>
      </w:r>
    </w:p>
  </w:footnote>
  <w:footnote w:type="continuationSeparator" w:id="0">
    <w:p w:rsidR="007D5F8D" w:rsidRDefault="007D5F8D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993"/>
    <w:multiLevelType w:val="hybridMultilevel"/>
    <w:tmpl w:val="3D7ABDA6"/>
    <w:lvl w:ilvl="0" w:tplc="20CA525E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color w:val="632423" w:themeColor="accent2" w:themeShade="8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32634"/>
    <w:multiLevelType w:val="hybridMultilevel"/>
    <w:tmpl w:val="6EDC8C5C"/>
    <w:lvl w:ilvl="0" w:tplc="B0BEF14E">
      <w:start w:val="1"/>
      <w:numFmt w:val="bullet"/>
      <w:pStyle w:val="Aufzhlung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-6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</w:abstractNum>
  <w:abstractNum w:abstractNumId="10">
    <w:nsid w:val="63213D1E"/>
    <w:multiLevelType w:val="hybridMultilevel"/>
    <w:tmpl w:val="B3D225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5128"/>
    <w:rsid w:val="000409EA"/>
    <w:rsid w:val="0004165F"/>
    <w:rsid w:val="00044AAF"/>
    <w:rsid w:val="000A2A61"/>
    <w:rsid w:val="000A4B8B"/>
    <w:rsid w:val="000C1B29"/>
    <w:rsid w:val="000E3953"/>
    <w:rsid w:val="000E5D89"/>
    <w:rsid w:val="00110153"/>
    <w:rsid w:val="00133562"/>
    <w:rsid w:val="00136172"/>
    <w:rsid w:val="0014097E"/>
    <w:rsid w:val="00142DFA"/>
    <w:rsid w:val="00155F4E"/>
    <w:rsid w:val="00161375"/>
    <w:rsid w:val="001634E6"/>
    <w:rsid w:val="00163D87"/>
    <w:rsid w:val="00185133"/>
    <w:rsid w:val="001A4E55"/>
    <w:rsid w:val="001A71B9"/>
    <w:rsid w:val="001B043E"/>
    <w:rsid w:val="001B5484"/>
    <w:rsid w:val="001C3197"/>
    <w:rsid w:val="001D5073"/>
    <w:rsid w:val="001E7FF4"/>
    <w:rsid w:val="001F319E"/>
    <w:rsid w:val="00202F49"/>
    <w:rsid w:val="00206E1F"/>
    <w:rsid w:val="002348B8"/>
    <w:rsid w:val="002640F8"/>
    <w:rsid w:val="002A04B8"/>
    <w:rsid w:val="002A2294"/>
    <w:rsid w:val="002B14FC"/>
    <w:rsid w:val="002D3F70"/>
    <w:rsid w:val="002D55C9"/>
    <w:rsid w:val="002E1682"/>
    <w:rsid w:val="002F3C8C"/>
    <w:rsid w:val="00300E1A"/>
    <w:rsid w:val="00314A1B"/>
    <w:rsid w:val="00321743"/>
    <w:rsid w:val="00334567"/>
    <w:rsid w:val="00363539"/>
    <w:rsid w:val="00365DBF"/>
    <w:rsid w:val="00381AB2"/>
    <w:rsid w:val="003A5F66"/>
    <w:rsid w:val="003D0416"/>
    <w:rsid w:val="003F4234"/>
    <w:rsid w:val="0040115E"/>
    <w:rsid w:val="004072A0"/>
    <w:rsid w:val="00411347"/>
    <w:rsid w:val="004124CF"/>
    <w:rsid w:val="004378FE"/>
    <w:rsid w:val="00445672"/>
    <w:rsid w:val="0045026B"/>
    <w:rsid w:val="0045375A"/>
    <w:rsid w:val="00467ABE"/>
    <w:rsid w:val="004851BE"/>
    <w:rsid w:val="0049628E"/>
    <w:rsid w:val="0049671A"/>
    <w:rsid w:val="00496D76"/>
    <w:rsid w:val="004C485B"/>
    <w:rsid w:val="004C5D31"/>
    <w:rsid w:val="004E2799"/>
    <w:rsid w:val="004F3656"/>
    <w:rsid w:val="005052CB"/>
    <w:rsid w:val="00534B8D"/>
    <w:rsid w:val="00536E69"/>
    <w:rsid w:val="00537A2A"/>
    <w:rsid w:val="00543675"/>
    <w:rsid w:val="005960DF"/>
    <w:rsid w:val="005971B6"/>
    <w:rsid w:val="005C16CC"/>
    <w:rsid w:val="005C4372"/>
    <w:rsid w:val="005D03D5"/>
    <w:rsid w:val="005F1ACA"/>
    <w:rsid w:val="006273F1"/>
    <w:rsid w:val="00657E6F"/>
    <w:rsid w:val="00677337"/>
    <w:rsid w:val="006A22F8"/>
    <w:rsid w:val="006A599E"/>
    <w:rsid w:val="006B65E9"/>
    <w:rsid w:val="006C713F"/>
    <w:rsid w:val="006D084A"/>
    <w:rsid w:val="006D5EEA"/>
    <w:rsid w:val="006D719E"/>
    <w:rsid w:val="006D7E07"/>
    <w:rsid w:val="006F57BF"/>
    <w:rsid w:val="007024FB"/>
    <w:rsid w:val="007357B6"/>
    <w:rsid w:val="007621DD"/>
    <w:rsid w:val="00771C9C"/>
    <w:rsid w:val="00775E13"/>
    <w:rsid w:val="007C1D1C"/>
    <w:rsid w:val="007C32D6"/>
    <w:rsid w:val="007C3E2C"/>
    <w:rsid w:val="007C44B9"/>
    <w:rsid w:val="007D5F8D"/>
    <w:rsid w:val="007D6BA1"/>
    <w:rsid w:val="007F4DE0"/>
    <w:rsid w:val="007F6F43"/>
    <w:rsid w:val="00800BD6"/>
    <w:rsid w:val="008109AD"/>
    <w:rsid w:val="008119C5"/>
    <w:rsid w:val="00820851"/>
    <w:rsid w:val="00825908"/>
    <w:rsid w:val="00826C8F"/>
    <w:rsid w:val="00837EC7"/>
    <w:rsid w:val="0089496D"/>
    <w:rsid w:val="008A106A"/>
    <w:rsid w:val="008A1768"/>
    <w:rsid w:val="008B1D49"/>
    <w:rsid w:val="008B6E6E"/>
    <w:rsid w:val="008E2ED1"/>
    <w:rsid w:val="008E685D"/>
    <w:rsid w:val="008E7D45"/>
    <w:rsid w:val="008F78E6"/>
    <w:rsid w:val="009323B9"/>
    <w:rsid w:val="00937B60"/>
    <w:rsid w:val="0095558E"/>
    <w:rsid w:val="00971722"/>
    <w:rsid w:val="009A1D85"/>
    <w:rsid w:val="009F42E4"/>
    <w:rsid w:val="00A20523"/>
    <w:rsid w:val="00A366CC"/>
    <w:rsid w:val="00A45C89"/>
    <w:rsid w:val="00A57E9B"/>
    <w:rsid w:val="00A804F8"/>
    <w:rsid w:val="00A828A1"/>
    <w:rsid w:val="00A973E5"/>
    <w:rsid w:val="00AB509B"/>
    <w:rsid w:val="00AC62B4"/>
    <w:rsid w:val="00AD39E6"/>
    <w:rsid w:val="00AE2D84"/>
    <w:rsid w:val="00AE3A55"/>
    <w:rsid w:val="00AE4645"/>
    <w:rsid w:val="00AF50CA"/>
    <w:rsid w:val="00B03B35"/>
    <w:rsid w:val="00B149A7"/>
    <w:rsid w:val="00B542E5"/>
    <w:rsid w:val="00B84C14"/>
    <w:rsid w:val="00B94BD8"/>
    <w:rsid w:val="00B96B47"/>
    <w:rsid w:val="00BB0CE9"/>
    <w:rsid w:val="00BB43FD"/>
    <w:rsid w:val="00BC629B"/>
    <w:rsid w:val="00BC763D"/>
    <w:rsid w:val="00BD0F95"/>
    <w:rsid w:val="00BD7E76"/>
    <w:rsid w:val="00BE7704"/>
    <w:rsid w:val="00BF22FF"/>
    <w:rsid w:val="00BF2994"/>
    <w:rsid w:val="00BF4880"/>
    <w:rsid w:val="00C00DEC"/>
    <w:rsid w:val="00C01D4F"/>
    <w:rsid w:val="00C16860"/>
    <w:rsid w:val="00C25E06"/>
    <w:rsid w:val="00C2632F"/>
    <w:rsid w:val="00C47F23"/>
    <w:rsid w:val="00C523AE"/>
    <w:rsid w:val="00C6552D"/>
    <w:rsid w:val="00C72D62"/>
    <w:rsid w:val="00CA26AC"/>
    <w:rsid w:val="00CB3549"/>
    <w:rsid w:val="00CB54B3"/>
    <w:rsid w:val="00CE051B"/>
    <w:rsid w:val="00CE559E"/>
    <w:rsid w:val="00D0707C"/>
    <w:rsid w:val="00D226DE"/>
    <w:rsid w:val="00D270BC"/>
    <w:rsid w:val="00D41BE0"/>
    <w:rsid w:val="00D53DEF"/>
    <w:rsid w:val="00D63AD2"/>
    <w:rsid w:val="00D73FBD"/>
    <w:rsid w:val="00DB08E6"/>
    <w:rsid w:val="00DC762A"/>
    <w:rsid w:val="00DD0C30"/>
    <w:rsid w:val="00DF308F"/>
    <w:rsid w:val="00DF41B5"/>
    <w:rsid w:val="00E0360F"/>
    <w:rsid w:val="00E16A0E"/>
    <w:rsid w:val="00E16B27"/>
    <w:rsid w:val="00E363A5"/>
    <w:rsid w:val="00E54B88"/>
    <w:rsid w:val="00E579BF"/>
    <w:rsid w:val="00E72519"/>
    <w:rsid w:val="00E84ADD"/>
    <w:rsid w:val="00E85DB9"/>
    <w:rsid w:val="00E86529"/>
    <w:rsid w:val="00E9648D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2FC1"/>
    <w:rsid w:val="00F372D1"/>
    <w:rsid w:val="00F5187C"/>
    <w:rsid w:val="00F625E2"/>
    <w:rsid w:val="00F75827"/>
    <w:rsid w:val="00F86862"/>
    <w:rsid w:val="00FA0BB9"/>
    <w:rsid w:val="00FC7E83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AC62B4"/>
    <w:pPr>
      <w:numPr>
        <w:numId w:val="11"/>
      </w:numPr>
      <w:spacing w:before="80" w:after="80" w:line="240" w:lineRule="auto"/>
      <w:ind w:left="170" w:hanging="22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AC62B4"/>
    <w:pPr>
      <w:numPr>
        <w:numId w:val="11"/>
      </w:numPr>
      <w:spacing w:before="80" w:after="80" w:line="240" w:lineRule="auto"/>
      <w:ind w:left="170" w:hanging="22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8905-42DE-47C0-B854-EA1EE28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2015-12-08T09:20:00Z</dcterms:created>
  <dcterms:modified xsi:type="dcterms:W3CDTF">2015-12-08T09:20:00Z</dcterms:modified>
</cp:coreProperties>
</file>